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253" w:rsidRPr="005E7692" w:rsidRDefault="004B7987" w:rsidP="00367253">
      <w:pPr>
        <w:jc w:val="center"/>
        <w:rPr>
          <w:b/>
          <w:sz w:val="28"/>
          <w:szCs w:val="28"/>
        </w:rPr>
      </w:pPr>
      <w:bookmarkStart w:id="0" w:name="_GoBack"/>
      <w:bookmarkEnd w:id="0"/>
      <w:r w:rsidRPr="005E7692">
        <w:rPr>
          <w:b/>
          <w:sz w:val="28"/>
          <w:szCs w:val="28"/>
        </w:rPr>
        <w:t>Before the</w:t>
      </w:r>
    </w:p>
    <w:p w:rsidR="00367253" w:rsidRPr="005E7692" w:rsidRDefault="004B7987" w:rsidP="00367253">
      <w:pPr>
        <w:jc w:val="center"/>
        <w:rPr>
          <w:b/>
          <w:sz w:val="28"/>
          <w:szCs w:val="28"/>
        </w:rPr>
      </w:pPr>
      <w:r w:rsidRPr="005E7692">
        <w:rPr>
          <w:b/>
          <w:sz w:val="28"/>
          <w:szCs w:val="28"/>
        </w:rPr>
        <w:t>Federal Communications Commission</w:t>
      </w:r>
    </w:p>
    <w:p w:rsidR="00367253" w:rsidRDefault="004B7987" w:rsidP="00367253">
      <w:pPr>
        <w:spacing w:after="240"/>
        <w:jc w:val="center"/>
        <w:rPr>
          <w:b/>
          <w:sz w:val="28"/>
          <w:szCs w:val="28"/>
        </w:rPr>
      </w:pPr>
      <w:r w:rsidRPr="005E7692">
        <w:rPr>
          <w:b/>
          <w:sz w:val="28"/>
          <w:szCs w:val="28"/>
        </w:rPr>
        <w:t>Washington, D.C. 20554</w:t>
      </w:r>
    </w:p>
    <w:p w:rsidR="00A10282" w:rsidRPr="005E7692" w:rsidRDefault="0008425B" w:rsidP="00367253">
      <w:pPr>
        <w:spacing w:after="240"/>
        <w:jc w:val="center"/>
        <w:rPr>
          <w:b/>
          <w:sz w:val="2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4"/>
        <w:gridCol w:w="969"/>
        <w:gridCol w:w="3537"/>
      </w:tblGrid>
      <w:tr w:rsidR="00801138" w:rsidTr="0045591E">
        <w:trPr>
          <w:jc w:val="center"/>
        </w:trPr>
        <w:tc>
          <w:tcPr>
            <w:tcW w:w="4968" w:type="dxa"/>
          </w:tcPr>
          <w:p w:rsidR="00367253" w:rsidRDefault="004B7987" w:rsidP="005C0B39">
            <w:pPr>
              <w:tabs>
                <w:tab w:val="right" w:pos="3600"/>
              </w:tabs>
              <w:spacing w:after="240"/>
            </w:pPr>
            <w:r>
              <w:t>In the Matter of</w:t>
            </w:r>
          </w:p>
          <w:p w:rsidR="00367253" w:rsidRDefault="004B7987" w:rsidP="005C0B39">
            <w:pPr>
              <w:tabs>
                <w:tab w:val="right" w:pos="3600"/>
              </w:tabs>
            </w:pPr>
            <w:r>
              <w:t>Restoring Internet Freedom</w:t>
            </w:r>
          </w:p>
        </w:tc>
        <w:tc>
          <w:tcPr>
            <w:tcW w:w="990" w:type="dxa"/>
          </w:tcPr>
          <w:p w:rsidR="00367253" w:rsidRDefault="004B7987" w:rsidP="005C0B39">
            <w:pPr>
              <w:tabs>
                <w:tab w:val="right" w:pos="3600"/>
              </w:tabs>
            </w:pPr>
            <w:r>
              <w:t>)</w:t>
            </w:r>
          </w:p>
          <w:p w:rsidR="00367253" w:rsidRDefault="004B7987" w:rsidP="005C0B39">
            <w:pPr>
              <w:tabs>
                <w:tab w:val="right" w:pos="3600"/>
              </w:tabs>
            </w:pPr>
            <w:r>
              <w:t>)</w:t>
            </w:r>
          </w:p>
          <w:p w:rsidR="00367253" w:rsidRDefault="004B7987" w:rsidP="005C0B39">
            <w:pPr>
              <w:tabs>
                <w:tab w:val="right" w:pos="3600"/>
              </w:tabs>
            </w:pPr>
            <w:r>
              <w:t xml:space="preserve">)   </w:t>
            </w:r>
          </w:p>
          <w:p w:rsidR="00367253" w:rsidRDefault="004B7987" w:rsidP="005C0B39">
            <w:pPr>
              <w:tabs>
                <w:tab w:val="right" w:pos="3600"/>
              </w:tabs>
            </w:pPr>
            <w:r>
              <w:t>)</w:t>
            </w:r>
          </w:p>
          <w:p w:rsidR="00367253" w:rsidRDefault="004B7987" w:rsidP="005C0B39">
            <w:pPr>
              <w:tabs>
                <w:tab w:val="right" w:pos="3600"/>
              </w:tabs>
            </w:pPr>
            <w:r>
              <w:t>)</w:t>
            </w:r>
          </w:p>
          <w:p w:rsidR="00367253" w:rsidRDefault="004B7987" w:rsidP="005C0B39">
            <w:pPr>
              <w:tabs>
                <w:tab w:val="right" w:pos="3600"/>
              </w:tabs>
            </w:pPr>
            <w:r>
              <w:t>)</w:t>
            </w:r>
          </w:p>
          <w:p w:rsidR="00367253" w:rsidRDefault="0008425B" w:rsidP="005C0B39">
            <w:pPr>
              <w:tabs>
                <w:tab w:val="right" w:pos="3600"/>
              </w:tabs>
            </w:pPr>
          </w:p>
        </w:tc>
        <w:tc>
          <w:tcPr>
            <w:tcW w:w="3618" w:type="dxa"/>
          </w:tcPr>
          <w:p w:rsidR="0045591E" w:rsidRDefault="0008425B" w:rsidP="0045591E">
            <w:pPr>
              <w:tabs>
                <w:tab w:val="right" w:pos="3600"/>
              </w:tabs>
            </w:pPr>
          </w:p>
          <w:p w:rsidR="0045591E" w:rsidRDefault="0008425B" w:rsidP="0045591E">
            <w:pPr>
              <w:tabs>
                <w:tab w:val="right" w:pos="3600"/>
              </w:tabs>
            </w:pPr>
          </w:p>
          <w:p w:rsidR="00367253" w:rsidRDefault="004B7987" w:rsidP="0045591E">
            <w:pPr>
              <w:tabs>
                <w:tab w:val="right" w:pos="3600"/>
              </w:tabs>
            </w:pPr>
            <w:r>
              <w:t>WC Docket No. 17-108</w:t>
            </w:r>
          </w:p>
        </w:tc>
      </w:tr>
    </w:tbl>
    <w:p w:rsidR="002065A9" w:rsidRDefault="006C09CD" w:rsidP="005E7692">
      <w:pPr>
        <w:spacing w:after="240" w:line="480" w:lineRule="auto"/>
        <w:jc w:val="center"/>
      </w:pPr>
      <w:r>
        <w:rPr>
          <w:b/>
        </w:rPr>
        <w:t xml:space="preserve">REPLY </w:t>
      </w:r>
      <w:r w:rsidR="004B7987" w:rsidRPr="00B70AAB">
        <w:rPr>
          <w:b/>
        </w:rPr>
        <w:t>COMMENTS OF THE ADT CORPORATION</w:t>
      </w:r>
      <w:r w:rsidR="008D2929">
        <w:rPr>
          <w:b/>
        </w:rPr>
        <w:t xml:space="preserve"> </w:t>
      </w:r>
    </w:p>
    <w:p w:rsidR="002065A9" w:rsidRDefault="00D23CD5" w:rsidP="0044387B">
      <w:pPr>
        <w:shd w:val="clear" w:color="auto" w:fill="FFFFFF"/>
        <w:spacing w:line="480" w:lineRule="auto"/>
        <w:ind w:firstLine="720"/>
      </w:pPr>
      <w:r>
        <w:t>The ADT Corporation (“ADT”), h</w:t>
      </w:r>
      <w:r w:rsidR="00CD73B6" w:rsidRPr="00CD73B6">
        <w:t>aving previously submitted comments</w:t>
      </w:r>
      <w:r w:rsidR="00A06921">
        <w:rPr>
          <w:rStyle w:val="FootnoteReference"/>
        </w:rPr>
        <w:footnoteReference w:id="1"/>
      </w:r>
      <w:r w:rsidR="00CD73B6" w:rsidRPr="00CD73B6">
        <w:t xml:space="preserve"> </w:t>
      </w:r>
      <w:r w:rsidR="00CE46EC">
        <w:t>responding to</w:t>
      </w:r>
      <w:r w:rsidR="00CD73B6" w:rsidRPr="00CD73B6">
        <w:t xml:space="preserve"> </w:t>
      </w:r>
      <w:r>
        <w:t>the Notice of Proposed Rulemaking (“Notice”) in the Restoring Internet Freedom proceeding</w:t>
      </w:r>
      <w:r w:rsidR="00CD73B6" w:rsidRPr="00CD73B6">
        <w:t xml:space="preserve">, </w:t>
      </w:r>
      <w:r w:rsidR="007B26D8">
        <w:t>hereby</w:t>
      </w:r>
      <w:r w:rsidR="00DB07BE">
        <w:t xml:space="preserve"> </w:t>
      </w:r>
      <w:r w:rsidR="00CD73B6" w:rsidRPr="00CD73B6">
        <w:t>submit</w:t>
      </w:r>
      <w:r w:rsidR="00DB07BE">
        <w:t>s</w:t>
      </w:r>
      <w:r w:rsidR="00CD73B6" w:rsidRPr="00CD73B6">
        <w:t xml:space="preserve"> the following reply comment</w:t>
      </w:r>
      <w:r w:rsidR="00CD73B6">
        <w:t>s</w:t>
      </w:r>
      <w:r w:rsidR="00DB07BE">
        <w:t xml:space="preserve"> for the Commission’s consideration</w:t>
      </w:r>
      <w:r w:rsidR="004B7987">
        <w:t xml:space="preserve">. </w:t>
      </w:r>
      <w:r w:rsidR="00C027E2">
        <w:t xml:space="preserve"> As previously explained, the Commission must </w:t>
      </w:r>
      <w:r w:rsidR="00CE46EC">
        <w:t xml:space="preserve">preserve regulations that </w:t>
      </w:r>
      <w:r w:rsidR="00C027E2">
        <w:t xml:space="preserve">ensure that emergency and alarm data </w:t>
      </w:r>
      <w:r w:rsidR="00B9707D">
        <w:t>transmission remain</w:t>
      </w:r>
      <w:r w:rsidR="00C027E2">
        <w:t xml:space="preserve"> able to travel across broadband networks without the threat of blocking or deprioritization by Internet Service Providers (“ISPs”).  </w:t>
      </w:r>
    </w:p>
    <w:p w:rsidR="00B8086C" w:rsidRDefault="004B7987" w:rsidP="00B8086C">
      <w:pPr>
        <w:spacing w:line="480" w:lineRule="auto"/>
        <w:ind w:firstLine="720"/>
      </w:pPr>
      <w:r>
        <w:t>ADT is the nation’s largest provider of home and business automation and alarm monitoring services in the United States, serving more than seven million residential and commercial customers. ADT offers a wide range of services for: i) residential security, including burglar alarm monitoring, fire and smoke monitoring, carbon monoxide monitoring, flood and temperature monitoring, panic buttons, and video; ii) small and large businesses, including intrusion detection and monitoring, access control systems and management, video surveillance, and automated business control tools; iii) home and business automation; and iv) home health, including push of a button assistance and 24/7 monitoring. Nationwide, there are six ADT-</w:t>
      </w:r>
      <w:r>
        <w:lastRenderedPageBreak/>
        <w:t>operated monitoring centers, which provide 24/7 service and notify local police, fire and emergency services when alarm data is received.</w:t>
      </w:r>
    </w:p>
    <w:p w:rsidR="008F5E07" w:rsidRDefault="00805515" w:rsidP="0071629C">
      <w:pPr>
        <w:spacing w:line="480" w:lineRule="auto"/>
        <w:ind w:firstLine="720"/>
      </w:pPr>
      <w:r>
        <w:t>With</w:t>
      </w:r>
      <w:r w:rsidR="00FC0E14">
        <w:t xml:space="preserve"> millions of comments submitted in response to the proposed Notice address</w:t>
      </w:r>
      <w:r w:rsidR="008F5E07">
        <w:t>ing</w:t>
      </w:r>
      <w:r w:rsidR="00FC0E14">
        <w:t xml:space="preserve"> </w:t>
      </w:r>
      <w:r w:rsidR="001D4672">
        <w:t>many</w:t>
      </w:r>
      <w:r w:rsidR="00FC0E14">
        <w:t xml:space="preserve"> competing viewpoints and concerns, </w:t>
      </w:r>
      <w:r w:rsidR="00CE46EC">
        <w:t xml:space="preserve">it is telling that absolutely </w:t>
      </w:r>
      <w:r w:rsidR="006B7BF6">
        <w:t>no one disagree</w:t>
      </w:r>
      <w:r w:rsidR="008F5E07">
        <w:t>s</w:t>
      </w:r>
      <w:r w:rsidR="006B7BF6">
        <w:t xml:space="preserve"> </w:t>
      </w:r>
      <w:r w:rsidR="001D4672">
        <w:t>that</w:t>
      </w:r>
      <w:r w:rsidR="00FC0E14">
        <w:t xml:space="preserve"> </w:t>
      </w:r>
      <w:r w:rsidR="006B7BF6">
        <w:t xml:space="preserve">emergency and </w:t>
      </w:r>
      <w:r w:rsidR="00FC0E14">
        <w:t>life safety service</w:t>
      </w:r>
      <w:r w:rsidR="006B7BF6">
        <w:t xml:space="preserve"> message</w:t>
      </w:r>
      <w:r w:rsidR="00FC0E14">
        <w:t>s</w:t>
      </w:r>
      <w:r w:rsidR="006B7BF6">
        <w:t xml:space="preserve"> </w:t>
      </w:r>
      <w:r w:rsidR="004134CC">
        <w:t>transmitted</w:t>
      </w:r>
      <w:r w:rsidR="006B7BF6">
        <w:t xml:space="preserve"> between both residential and commercial </w:t>
      </w:r>
      <w:r w:rsidR="00206C69">
        <w:t>customer premises</w:t>
      </w:r>
      <w:r w:rsidR="006B7BF6">
        <w:t xml:space="preserve"> and alarm service company facilities</w:t>
      </w:r>
      <w:r w:rsidR="003768CB">
        <w:t xml:space="preserve"> </w:t>
      </w:r>
      <w:r w:rsidR="006B7BF6">
        <w:t xml:space="preserve">must </w:t>
      </w:r>
      <w:r w:rsidR="008F5E07">
        <w:t xml:space="preserve">always </w:t>
      </w:r>
      <w:r w:rsidR="001D4672">
        <w:t xml:space="preserve">be protected and preserved </w:t>
      </w:r>
      <w:r w:rsidR="003768CB">
        <w:t>from degradation, throttling and deprioritization</w:t>
      </w:r>
      <w:r w:rsidR="00CE46EC">
        <w:t xml:space="preserve"> by ISPs</w:t>
      </w:r>
      <w:r w:rsidR="00FC0E14">
        <w:t>.</w:t>
      </w:r>
      <w:r w:rsidR="004134CC">
        <w:t xml:space="preserve">  </w:t>
      </w:r>
    </w:p>
    <w:p w:rsidR="00F50D06" w:rsidRDefault="000A4B3D" w:rsidP="00F50D06">
      <w:pPr>
        <w:spacing w:line="480" w:lineRule="auto"/>
        <w:ind w:firstLine="720"/>
      </w:pPr>
      <w:r>
        <w:t xml:space="preserve">This is an issue of obvious public importance. Individuals, </w:t>
      </w:r>
      <w:r w:rsidR="004134CC">
        <w:t xml:space="preserve">families, </w:t>
      </w:r>
      <w:r>
        <w:t>schools, businesses</w:t>
      </w:r>
      <w:r w:rsidR="005B4C79">
        <w:t xml:space="preserve">, commercial / industrial properties and governments all depend upon properly functioning alarm services. </w:t>
      </w:r>
      <w:r w:rsidR="00366F45">
        <w:t>Alarm data communications save lives and protect the well-being of families and businesses by alerting emergency service responders to a fire, carbon monoxide poisoning, a break-in, or a medical emergency.</w:t>
      </w:r>
      <w:r w:rsidR="00206C69">
        <w:t xml:space="preserve"> </w:t>
      </w:r>
      <w:r w:rsidR="00366F45">
        <w:t xml:space="preserve"> </w:t>
      </w:r>
      <w:r w:rsidR="00F50D06">
        <w:t>Emergency service responders</w:t>
      </w:r>
      <w:r w:rsidR="00206C69">
        <w:t xml:space="preserve"> in turn</w:t>
      </w:r>
      <w:r w:rsidR="00F50D06">
        <w:t xml:space="preserve"> rely upon the critical, first-in-time messaging provided by alarm services to initiate, update and sometimes cancel emergency dispatch requests.  For all these reasons, alarm data transmitted between the customer’s premises and alarm monitoring centers, including alarm alerts, medical alerts, equipment status updates, surveillance footage and video verification, absolutely requires secure, timely and reliable communications.</w:t>
      </w:r>
    </w:p>
    <w:p w:rsidR="00366F45" w:rsidRDefault="00366F45" w:rsidP="00975452">
      <w:pPr>
        <w:spacing w:line="480" w:lineRule="auto"/>
        <w:ind w:firstLine="720"/>
      </w:pPr>
      <w:r>
        <w:t xml:space="preserve">Any deprioritization or slowing of this data would not just be unconscionable, it </w:t>
      </w:r>
      <w:r w:rsidR="00206C69">
        <w:t>is a</w:t>
      </w:r>
      <w:r>
        <w:t xml:space="preserve"> matter of life and death. </w:t>
      </w:r>
      <w:r w:rsidR="008F5E07">
        <w:t xml:space="preserve"> Thus, a</w:t>
      </w:r>
      <w:r w:rsidRPr="006156F9">
        <w:t xml:space="preserve"> regulatory framework that prevents discrimination against alarm emergency and life-saving services, applications, products or providers, and supports interoperability, security, and privacy, is</w:t>
      </w:r>
      <w:r>
        <w:t xml:space="preserve"> inarguably</w:t>
      </w:r>
      <w:r w:rsidRPr="006156F9">
        <w:t xml:space="preserve"> in the nation’s best interest. </w:t>
      </w:r>
      <w:r>
        <w:t xml:space="preserve"> To that end, ADT strongly opposes any regulatory rollback that would allow for </w:t>
      </w:r>
      <w:r w:rsidR="00206C69">
        <w:t xml:space="preserve">ISP </w:t>
      </w:r>
      <w:r>
        <w:t>blocking, throttling and / or deprioritization of alarm and life safety data.</w:t>
      </w:r>
    </w:p>
    <w:p w:rsidR="00805515" w:rsidRDefault="005B4C79" w:rsidP="00805515">
      <w:pPr>
        <w:autoSpaceDE w:val="0"/>
        <w:autoSpaceDN w:val="0"/>
        <w:adjustRightInd w:val="0"/>
        <w:spacing w:line="480" w:lineRule="auto"/>
        <w:ind w:firstLine="720"/>
      </w:pPr>
      <w:r>
        <w:lastRenderedPageBreak/>
        <w:t xml:space="preserve">As telecommunications providers continue to phase out traditional telephone networks, alarm and home health monitoring systems rely more and more upon unfettered access to customer-provided broadband and mobile networks, such as the Internet. </w:t>
      </w:r>
      <w:r w:rsidR="00A31536">
        <w:t>Incompas</w:t>
      </w:r>
      <w:r w:rsidR="00D15FCE">
        <w:rPr>
          <w:rStyle w:val="FootnoteReference"/>
        </w:rPr>
        <w:footnoteReference w:id="2"/>
      </w:r>
      <w:r>
        <w:t xml:space="preserve"> </w:t>
      </w:r>
      <w:r w:rsidR="007F3327">
        <w:t xml:space="preserve">correctly </w:t>
      </w:r>
      <w:r>
        <w:t>note</w:t>
      </w:r>
      <w:r w:rsidR="00975452">
        <w:t>s</w:t>
      </w:r>
      <w:r>
        <w:t xml:space="preserve"> that</w:t>
      </w:r>
      <w:r w:rsidR="00A31536">
        <w:t xml:space="preserve"> “traditional forms of services, like real estate brokerage, and traditional devices, like automobiles or alarm systems, will increasingly depend on the use of broadband networks.” </w:t>
      </w:r>
      <w:r>
        <w:t>Many of these systems already do rely upon broadband networks for connectivity.</w:t>
      </w:r>
      <w:r w:rsidR="007F3327">
        <w:t xml:space="preserve">  </w:t>
      </w:r>
      <w:r w:rsidR="00805515">
        <w:t>As the California Public Utilities Commission</w:t>
      </w:r>
      <w:r w:rsidR="00805515">
        <w:rPr>
          <w:rStyle w:val="FootnoteReference"/>
        </w:rPr>
        <w:footnoteReference w:id="3"/>
      </w:r>
      <w:r w:rsidR="00805515">
        <w:t xml:space="preserve"> correctly</w:t>
      </w:r>
      <w:r w:rsidR="005149F8">
        <w:t xml:space="preserve"> highlights the problems that arise with the increasing reliance on broadband transmission</w:t>
      </w:r>
      <w:r w:rsidR="00421850">
        <w:t>: “</w:t>
      </w:r>
      <w:r w:rsidR="00805515" w:rsidRPr="004B3F5D">
        <w:t>broadband transmission facilities present the most likely bottlenecks that could be used to</w:t>
      </w:r>
      <w:r w:rsidR="00805515">
        <w:t xml:space="preserve"> </w:t>
      </w:r>
      <w:r w:rsidR="00805515" w:rsidRPr="004B3F5D">
        <w:t>effectively limit consumer choice among content, applications, services, and devices.</w:t>
      </w:r>
      <w:r w:rsidR="00340097">
        <w:t xml:space="preserve"> </w:t>
      </w:r>
      <w:r w:rsidR="00805515">
        <w:t xml:space="preserve"> </w:t>
      </w:r>
      <w:r w:rsidR="00805515" w:rsidRPr="004B3F5D">
        <w:t>In addition, a free and open Internet is critical to areas such as energy, education,</w:t>
      </w:r>
      <w:r w:rsidR="00805515">
        <w:t xml:space="preserve"> </w:t>
      </w:r>
      <w:r w:rsidR="00805515" w:rsidRPr="004B3F5D">
        <w:t xml:space="preserve">medicine, and public safety. </w:t>
      </w:r>
      <w:r w:rsidR="00206C69">
        <w:t xml:space="preserve"> </w:t>
      </w:r>
      <w:r w:rsidR="00805515" w:rsidRPr="004B3F5D">
        <w:t>Given the importance of an open Internet in our society,</w:t>
      </w:r>
      <w:r w:rsidR="00805515">
        <w:t xml:space="preserve"> </w:t>
      </w:r>
      <w:r w:rsidR="00805515" w:rsidRPr="004B3F5D">
        <w:t>strong non-discriminatory net neutrality rules are necessary to ensure consumers can</w:t>
      </w:r>
      <w:r w:rsidR="00805515">
        <w:t xml:space="preserve"> </w:t>
      </w:r>
      <w:r w:rsidR="00805515" w:rsidRPr="004B3F5D">
        <w:t>enjoy unfettered access to the Internet.</w:t>
      </w:r>
      <w:r w:rsidR="00805515">
        <w:t xml:space="preserve">” </w:t>
      </w:r>
    </w:p>
    <w:p w:rsidR="005D2B3D" w:rsidRDefault="005B4C79" w:rsidP="005D2B3D">
      <w:pPr>
        <w:spacing w:line="480" w:lineRule="auto"/>
        <w:ind w:firstLine="720"/>
      </w:pPr>
      <w:r>
        <w:t>Nokia</w:t>
      </w:r>
      <w:r>
        <w:rPr>
          <w:rStyle w:val="FootnoteReference"/>
        </w:rPr>
        <w:footnoteReference w:id="4"/>
      </w:r>
      <w:r>
        <w:t xml:space="preserve"> suggest</w:t>
      </w:r>
      <w:r w:rsidR="005149F8">
        <w:t>s</w:t>
      </w:r>
      <w:r>
        <w:t xml:space="preserve"> that prioritized voice service, which consists of “marking the voice packets as ‘highest priority’ and expediting the forwarding of these packets using the highest priority class (which is served before </w:t>
      </w:r>
      <w:r>
        <w:rPr>
          <w:i/>
        </w:rPr>
        <w:t>any</w:t>
      </w:r>
      <w:r>
        <w:t xml:space="preserve"> other traffic)” could be </w:t>
      </w:r>
      <w:r w:rsidR="005149F8">
        <w:t xml:space="preserve">an effective model </w:t>
      </w:r>
      <w:r>
        <w:t>for</w:t>
      </w:r>
      <w:r w:rsidR="005149F8">
        <w:t xml:space="preserve"> ensuring that</w:t>
      </w:r>
      <w:r>
        <w:t xml:space="preserve"> “e-health and e-learning, and remote monitoring / security services, all of which depend on such interactive communications services”</w:t>
      </w:r>
      <w:r w:rsidR="005149F8">
        <w:t xml:space="preserve"> are protected in this environment. </w:t>
      </w:r>
      <w:r>
        <w:t xml:space="preserve"> ADT </w:t>
      </w:r>
      <w:r w:rsidR="005149F8">
        <w:t xml:space="preserve">whole-heartedly </w:t>
      </w:r>
      <w:r>
        <w:t xml:space="preserve">agrees that life safety and public safety data </w:t>
      </w:r>
      <w:r w:rsidR="007F3327">
        <w:t xml:space="preserve">must always </w:t>
      </w:r>
      <w:r>
        <w:t xml:space="preserve">receive the highest level of </w:t>
      </w:r>
      <w:r>
        <w:lastRenderedPageBreak/>
        <w:t>prioritization, but without additional cost</w:t>
      </w:r>
      <w:r w:rsidR="007F3327">
        <w:t>s imposed by ISPs</w:t>
      </w:r>
      <w:r w:rsidR="00BF1CFF">
        <w:t>.</w:t>
      </w:r>
      <w:r>
        <w:t xml:space="preserve"> </w:t>
      </w:r>
      <w:r w:rsidR="00BF1CFF">
        <w:t xml:space="preserve"> </w:t>
      </w:r>
      <w:r w:rsidR="007F3327">
        <w:t>As m</w:t>
      </w:r>
      <w:r w:rsidR="005D2B3D">
        <w:t xml:space="preserve">any </w:t>
      </w:r>
      <w:r w:rsidR="007F3327">
        <w:t>ISPs</w:t>
      </w:r>
      <w:r w:rsidR="005D2B3D">
        <w:t xml:space="preserve"> now offer competing alarm services, </w:t>
      </w:r>
      <w:r w:rsidR="007F3327">
        <w:t>they</w:t>
      </w:r>
      <w:r w:rsidR="00665701">
        <w:t xml:space="preserve"> certainly</w:t>
      </w:r>
      <w:r w:rsidR="007F3327">
        <w:t xml:space="preserve"> have the</w:t>
      </w:r>
      <w:r w:rsidR="005D2B3D">
        <w:t xml:space="preserve"> ability and incentive to degrade competing alarm service signals in favor of their own</w:t>
      </w:r>
      <w:r w:rsidR="007F3327">
        <w:t xml:space="preserve"> and to raise the costs of their competitors</w:t>
      </w:r>
      <w:r w:rsidR="005D2B3D">
        <w:t xml:space="preserve">. Absent protections, broadband providers would be free to block a particular alarm service provider’s messaging content and to discriminate amongst competing alarm service providers. </w:t>
      </w:r>
      <w:r w:rsidR="007F3327">
        <w:t xml:space="preserve"> </w:t>
      </w:r>
      <w:r w:rsidR="00BF1CFF">
        <w:t xml:space="preserve">Accordingly, the Commission should use regulation to safeguard alarm providers’ and their customers’ ability to access and use reliable broadband connections in a non-discriminatory basis. </w:t>
      </w:r>
    </w:p>
    <w:p w:rsidR="004B3F5D" w:rsidRDefault="002E2B43" w:rsidP="00085FF7">
      <w:pPr>
        <w:autoSpaceDE w:val="0"/>
        <w:autoSpaceDN w:val="0"/>
        <w:adjustRightInd w:val="0"/>
        <w:spacing w:line="480" w:lineRule="auto"/>
        <w:ind w:firstLine="720"/>
      </w:pPr>
      <w:r>
        <w:t xml:space="preserve">ADT </w:t>
      </w:r>
      <w:r w:rsidR="00665701">
        <w:t>thus</w:t>
      </w:r>
      <w:r w:rsidR="00F50D06">
        <w:t xml:space="preserve"> </w:t>
      </w:r>
      <w:r>
        <w:t xml:space="preserve">agrees with </w:t>
      </w:r>
      <w:r w:rsidR="00F97644">
        <w:t>AARP</w:t>
      </w:r>
      <w:r w:rsidR="00D15FCE">
        <w:rPr>
          <w:rStyle w:val="FootnoteReference"/>
        </w:rPr>
        <w:footnoteReference w:id="5"/>
      </w:r>
      <w:r w:rsidR="00A66688">
        <w:t xml:space="preserve"> </w:t>
      </w:r>
      <w:r>
        <w:t>that</w:t>
      </w:r>
      <w:r w:rsidR="00F97644">
        <w:t xml:space="preserve"> “</w:t>
      </w:r>
      <w:r w:rsidR="00F97644" w:rsidRPr="00F97644">
        <w:t>The need for a bright-line rule addressing throttling is even more urgent given the growing variety of services into which broadband ISPs are expanding. Broadband providers are currently taking positions in key industries that may result in their gaining competitive advantage in areas such as home automation, smart grid, “Internet of Things,” and medical monitoring. Absent policies that manage ongoing market power in last-mile broadband networks, the growth of these technologies and related network effects that can arise from broadband will be limited. Unless the Commission delivers pro-competition and pro-innovation regulatory certainty, the</w:t>
      </w:r>
      <w:r w:rsidR="00A66688">
        <w:t xml:space="preserve"> </w:t>
      </w:r>
      <w:r w:rsidR="00F97644" w:rsidRPr="00F97644">
        <w:t>exponential growth in economic benefits that have been enabled by an open Internet to date will</w:t>
      </w:r>
      <w:r w:rsidR="00A66688">
        <w:t xml:space="preserve"> </w:t>
      </w:r>
      <w:r w:rsidR="00F97644" w:rsidRPr="00F97644">
        <w:t>be threatened, and the foundation of future network effects will be handed to broadband gatekeepers who have the power to shape technology for narrow gain.</w:t>
      </w:r>
      <w:r w:rsidR="00F97644">
        <w:t>”</w:t>
      </w:r>
      <w:r w:rsidR="009842DA" w:rsidRPr="009842DA">
        <w:rPr>
          <w:rStyle w:val="FootnoteReference"/>
        </w:rPr>
        <w:t xml:space="preserve"> </w:t>
      </w:r>
      <w:r w:rsidR="009842DA">
        <w:rPr>
          <w:rStyle w:val="FootnoteReference"/>
        </w:rPr>
        <w:footnoteReference w:id="6"/>
      </w:r>
      <w:r w:rsidR="00F50D06">
        <w:t xml:space="preserve">  AARP</w:t>
      </w:r>
      <w:r w:rsidR="004B3F5D">
        <w:t xml:space="preserve"> </w:t>
      </w:r>
      <w:r w:rsidR="00D15FCE">
        <w:t xml:space="preserve">further </w:t>
      </w:r>
      <w:r w:rsidR="004B3F5D">
        <w:t>note</w:t>
      </w:r>
      <w:r w:rsidR="00F50D06">
        <w:t>s</w:t>
      </w:r>
      <w:r w:rsidR="004B3F5D">
        <w:t xml:space="preserve"> that “without non-discriminatory rules, providers of emergency services or public safety agencies might have to pay extra for their traffic to have priority.</w:t>
      </w:r>
      <w:r w:rsidR="00BA105F">
        <w:t xml:space="preserve"> </w:t>
      </w:r>
      <w:r w:rsidR="004B3F5D">
        <w:t xml:space="preserve"> If states, cities, and counties were required to pay for priority access, their ability to provide comprehensive, timely information to the public in a crisis could be profoundly </w:t>
      </w:r>
      <w:r w:rsidR="004B3F5D">
        <w:lastRenderedPageBreak/>
        <w:t>impaired.”</w:t>
      </w:r>
      <w:r w:rsidR="00F50D06" w:rsidRPr="00F50D06">
        <w:t xml:space="preserve"> </w:t>
      </w:r>
      <w:r w:rsidR="00F50D06">
        <w:t xml:space="preserve"> We share AARP’s concerns regarding what might happen without strong protections for public safety and life safety services.</w:t>
      </w:r>
    </w:p>
    <w:p w:rsidR="005B68CC" w:rsidRDefault="006D09E0" w:rsidP="005B68CC">
      <w:pPr>
        <w:spacing w:line="480" w:lineRule="auto"/>
        <w:ind w:firstLine="720"/>
      </w:pPr>
      <w:r>
        <w:t xml:space="preserve">We finally note that </w:t>
      </w:r>
      <w:r w:rsidR="00F06B03">
        <w:t>Century Link</w:t>
      </w:r>
      <w:r w:rsidR="003D28E6">
        <w:t>,</w:t>
      </w:r>
      <w:r w:rsidR="00F06B03">
        <w:t xml:space="preserve"> a</w:t>
      </w:r>
      <w:r>
        <w:t xml:space="preserve"> large ISP </w:t>
      </w:r>
      <w:r w:rsidR="00F06B03">
        <w:t xml:space="preserve">with an electronic security </w:t>
      </w:r>
      <w:r>
        <w:t>service</w:t>
      </w:r>
      <w:r w:rsidR="00F06B03">
        <w:t xml:space="preserve"> </w:t>
      </w:r>
      <w:r w:rsidR="003D28E6">
        <w:t>that competes with ADT</w:t>
      </w:r>
      <w:r w:rsidR="001F2BBD">
        <w:t>’s services</w:t>
      </w:r>
      <w:r w:rsidR="008239D6">
        <w:rPr>
          <w:rStyle w:val="FootnoteReference"/>
        </w:rPr>
        <w:footnoteReference w:id="7"/>
      </w:r>
      <w:r>
        <w:t xml:space="preserve"> </w:t>
      </w:r>
      <w:r w:rsidR="00665701">
        <w:t>also</w:t>
      </w:r>
      <w:r>
        <w:t xml:space="preserve"> agree</w:t>
      </w:r>
      <w:r w:rsidR="00665701">
        <w:t>s</w:t>
      </w:r>
      <w:r>
        <w:t>.  Century Link, in</w:t>
      </w:r>
      <w:r w:rsidR="003D28E6">
        <w:t xml:space="preserve"> </w:t>
      </w:r>
      <w:r w:rsidR="00FA56EC">
        <w:t>oppos</w:t>
      </w:r>
      <w:r>
        <w:t>ing</w:t>
      </w:r>
      <w:r w:rsidR="00FA56EC">
        <w:t xml:space="preserve"> regulation of BIAS under Title II</w:t>
      </w:r>
      <w:r w:rsidR="001F2BBD">
        <w:t xml:space="preserve">, </w:t>
      </w:r>
      <w:r>
        <w:t>fully</w:t>
      </w:r>
      <w:r w:rsidR="00FA56EC">
        <w:t xml:space="preserve"> </w:t>
      </w:r>
      <w:r w:rsidR="00833066">
        <w:t xml:space="preserve">supports </w:t>
      </w:r>
      <w:r w:rsidR="00FA56EC">
        <w:t>the</w:t>
      </w:r>
      <w:r w:rsidR="00833066">
        <w:t xml:space="preserve"> Commission’s authority to oversee emergency communications infrastructures and programs, as evidenced by its filing</w:t>
      </w:r>
      <w:r w:rsidR="00B9707D">
        <w:t>:</w:t>
      </w:r>
      <w:r w:rsidR="00833066">
        <w:t xml:space="preserve"> “Whether providing support to States for the deployment of emergency communications infrastructures, ensuring the use of 9-1-1 as the universal emergency telephone number within the U.S., or providing regulatory oversight for the TSP System, it is apparent that they Commission has a well entrenched, statutorily-based role in the public safety area.”</w:t>
      </w:r>
      <w:r w:rsidR="00B9707D" w:rsidRPr="00B9707D">
        <w:rPr>
          <w:rStyle w:val="FootnoteReference"/>
        </w:rPr>
        <w:t xml:space="preserve"> </w:t>
      </w:r>
      <w:r w:rsidR="00B9707D">
        <w:rPr>
          <w:rStyle w:val="FootnoteReference"/>
        </w:rPr>
        <w:footnoteReference w:id="8"/>
      </w:r>
      <w:r w:rsidR="00833066">
        <w:t xml:space="preserve">  ADT couldn’t agree more, and </w:t>
      </w:r>
      <w:r w:rsidR="00B9707D">
        <w:t>supports Century Link</w:t>
      </w:r>
      <w:r w:rsidR="00AC708E">
        <w:t>’</w:t>
      </w:r>
      <w:r w:rsidR="00B9707D">
        <w:t>s call for</w:t>
      </w:r>
      <w:r w:rsidR="005D2B3D">
        <w:t xml:space="preserve"> measures</w:t>
      </w:r>
      <w:r w:rsidR="00833066">
        <w:t xml:space="preserve"> to</w:t>
      </w:r>
      <w:r w:rsidR="00F23541">
        <w:t xml:space="preserve"> </w:t>
      </w:r>
      <w:r w:rsidR="00833066">
        <w:t>“</w:t>
      </w:r>
      <w:r w:rsidR="00F23541">
        <w:t>ensure the continuation of public safety programs and services that the nation has come to rely on.</w:t>
      </w:r>
      <w:r w:rsidR="00AE6ACD">
        <w:t>”</w:t>
      </w:r>
      <w:r w:rsidR="00833066">
        <w:rPr>
          <w:rStyle w:val="FootnoteReference"/>
        </w:rPr>
        <w:footnoteReference w:id="9"/>
      </w:r>
    </w:p>
    <w:p w:rsidR="0045591E" w:rsidRDefault="0008425B" w:rsidP="003E0E67">
      <w:pPr>
        <w:spacing w:line="480" w:lineRule="auto"/>
        <w:ind w:firstLine="720"/>
      </w:pPr>
    </w:p>
    <w:p w:rsidR="00B9707D" w:rsidRDefault="00B9707D">
      <w:pPr>
        <w:spacing w:after="200" w:line="276" w:lineRule="auto"/>
      </w:pPr>
      <w:bookmarkStart w:id="1" w:name="_Toc483994621"/>
      <w:r>
        <w:br w:type="page"/>
      </w:r>
    </w:p>
    <w:p w:rsidR="002065A9" w:rsidRDefault="004B7987" w:rsidP="00910042">
      <w:pPr>
        <w:spacing w:after="200" w:line="276" w:lineRule="auto"/>
        <w:jc w:val="center"/>
      </w:pPr>
      <w:r>
        <w:lastRenderedPageBreak/>
        <w:t>CONCLUSION</w:t>
      </w:r>
      <w:bookmarkEnd w:id="1"/>
    </w:p>
    <w:p w:rsidR="005C0B39" w:rsidRDefault="004B7987" w:rsidP="005E7692">
      <w:pPr>
        <w:spacing w:line="480" w:lineRule="auto"/>
        <w:ind w:firstLine="720"/>
      </w:pPr>
      <w:r>
        <w:t xml:space="preserve">Tomorrow’s public safety and lifesaving services such as home alarm systems, school and business security, and disaster alert data will certainly depend on access to reliable broadband networks. </w:t>
      </w:r>
      <w:r w:rsidR="00BA105F">
        <w:t xml:space="preserve"> </w:t>
      </w:r>
      <w:r>
        <w:t xml:space="preserve">To ensure the health and safety of consumers, alarm data must travel across broadband networks without the threat of blocking or deprioritization. As the largest provider of home and business automation and alarm monitoring services in the United States, ADT asks the Commission to adopt rules consistent with its concerns.  </w:t>
      </w:r>
    </w:p>
    <w:p w:rsidR="002065A9" w:rsidRDefault="004B7987" w:rsidP="008C090B">
      <w:pPr>
        <w:spacing w:line="480" w:lineRule="auto"/>
        <w:ind w:left="4320"/>
      </w:pPr>
      <w:r>
        <w:t>Respectfully Submitted,</w:t>
      </w:r>
    </w:p>
    <w:p w:rsidR="00873DC7" w:rsidRDefault="00873DC7" w:rsidP="008C090B">
      <w:pPr>
        <w:spacing w:line="480" w:lineRule="auto"/>
        <w:ind w:left="4320"/>
      </w:pPr>
    </w:p>
    <w:p w:rsidR="002065A9" w:rsidRDefault="004B7987" w:rsidP="008C090B">
      <w:pPr>
        <w:spacing w:line="480" w:lineRule="auto"/>
        <w:ind w:left="4320"/>
      </w:pPr>
      <w:r>
        <w:t>THE ADT CORPORATION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2"/>
        <w:gridCol w:w="4698"/>
      </w:tblGrid>
      <w:tr w:rsidR="00801138" w:rsidTr="005C0B39">
        <w:tc>
          <w:tcPr>
            <w:tcW w:w="4788" w:type="dxa"/>
          </w:tcPr>
          <w:p w:rsidR="008C090B" w:rsidRDefault="004B7987" w:rsidP="005C0B39">
            <w:r>
              <w:t>Holly Borgmann</w:t>
            </w:r>
          </w:p>
          <w:p w:rsidR="008C090B" w:rsidRDefault="004B7987" w:rsidP="005C0B39">
            <w:r>
              <w:t xml:space="preserve">Head of Government Affairs </w:t>
            </w:r>
          </w:p>
          <w:p w:rsidR="008C090B" w:rsidRDefault="004B7987" w:rsidP="005C0B39">
            <w:r>
              <w:t>The ADT Corporation</w:t>
            </w:r>
          </w:p>
          <w:p w:rsidR="008C090B" w:rsidRDefault="004B7987" w:rsidP="005C0B39">
            <w:r>
              <w:t xml:space="preserve">1501 Yamato Road </w:t>
            </w:r>
          </w:p>
          <w:p w:rsidR="008C090B" w:rsidRDefault="004B7987" w:rsidP="005C0B39">
            <w:r>
              <w:t>Boca Raton, FL 33431</w:t>
            </w:r>
          </w:p>
        </w:tc>
        <w:tc>
          <w:tcPr>
            <w:tcW w:w="4788" w:type="dxa"/>
          </w:tcPr>
          <w:p w:rsidR="008C090B" w:rsidRPr="008C090B" w:rsidRDefault="004B7987" w:rsidP="008C090B">
            <w:pPr>
              <w:tabs>
                <w:tab w:val="right" w:pos="3639"/>
              </w:tabs>
              <w:rPr>
                <w:i/>
                <w:u w:val="single"/>
              </w:rPr>
            </w:pPr>
            <w:r w:rsidRPr="008C090B">
              <w:rPr>
                <w:i/>
                <w:u w:val="single"/>
              </w:rPr>
              <w:t>/s/ Frank Cona</w:t>
            </w:r>
            <w:r w:rsidRPr="008C090B">
              <w:rPr>
                <w:i/>
                <w:u w:val="single"/>
              </w:rPr>
              <w:tab/>
            </w:r>
          </w:p>
          <w:p w:rsidR="00752BAD" w:rsidRDefault="004B7987" w:rsidP="00752BAD">
            <w:r>
              <w:t>Frank Cona</w:t>
            </w:r>
          </w:p>
          <w:p w:rsidR="00752BAD" w:rsidRDefault="004B7987" w:rsidP="00752BAD">
            <w:r>
              <w:t>Vice President, Chief IP Counsel and Chief Privacy Officer</w:t>
            </w:r>
          </w:p>
          <w:p w:rsidR="00752BAD" w:rsidRDefault="004B7987" w:rsidP="00752BAD">
            <w:r>
              <w:t>The ADT Corporation</w:t>
            </w:r>
          </w:p>
          <w:p w:rsidR="00752BAD" w:rsidRDefault="004B7987" w:rsidP="00752BAD">
            <w:r>
              <w:t xml:space="preserve">1501 Yamato Road </w:t>
            </w:r>
          </w:p>
          <w:p w:rsidR="00752BAD" w:rsidRDefault="004B7987" w:rsidP="00752BAD">
            <w:pPr>
              <w:spacing w:line="480" w:lineRule="auto"/>
            </w:pPr>
            <w:r>
              <w:t>Boca Raton, FL 33431</w:t>
            </w:r>
          </w:p>
          <w:p w:rsidR="008C090B" w:rsidRPr="008C090B" w:rsidRDefault="0008425B" w:rsidP="008C090B">
            <w:pPr>
              <w:spacing w:after="240"/>
            </w:pPr>
          </w:p>
        </w:tc>
      </w:tr>
    </w:tbl>
    <w:p w:rsidR="00114796" w:rsidRDefault="0008425B" w:rsidP="002065A9">
      <w:pPr>
        <w:spacing w:line="480" w:lineRule="auto"/>
      </w:pPr>
    </w:p>
    <w:p w:rsidR="008C090B" w:rsidRDefault="00902F87" w:rsidP="002065A9">
      <w:pPr>
        <w:spacing w:line="480" w:lineRule="auto"/>
      </w:pPr>
      <w:r>
        <w:t>August</w:t>
      </w:r>
      <w:r w:rsidR="004B7987">
        <w:t xml:space="preserve"> </w:t>
      </w:r>
      <w:r w:rsidR="00AC708E">
        <w:t>30</w:t>
      </w:r>
      <w:r w:rsidR="004B7987">
        <w:t>, 2017</w:t>
      </w:r>
    </w:p>
    <w:p w:rsidR="00C82BBD" w:rsidRPr="00C82BBD" w:rsidRDefault="0008425B" w:rsidP="00C82BBD"/>
    <w:p w:rsidR="00C82BBD" w:rsidRPr="00C82BBD" w:rsidRDefault="0008425B" w:rsidP="00C82BBD"/>
    <w:p w:rsidR="00C82BBD" w:rsidRPr="00C82BBD" w:rsidRDefault="0008425B" w:rsidP="00C82BBD"/>
    <w:p w:rsidR="00C82BBD" w:rsidRPr="00C82BBD" w:rsidRDefault="0008425B" w:rsidP="00C82BBD"/>
    <w:p w:rsidR="00C82BBD" w:rsidRPr="00C82BBD" w:rsidRDefault="001556B9" w:rsidP="00C82BBD">
      <w:r>
        <w:rPr>
          <w:noProof/>
        </w:rPr>
        <mc:AlternateContent>
          <mc:Choice Requires="wps">
            <w:drawing>
              <wp:anchor distT="0" distB="0" distL="114300" distR="114300" simplePos="0" relativeHeight="251659264" behindDoc="0" locked="0" layoutInCell="0" allowOverlap="1">
                <wp:simplePos x="0" y="0"/>
                <wp:positionH relativeFrom="column">
                  <wp:posOffset>88900</wp:posOffset>
                </wp:positionH>
                <wp:positionV relativeFrom="page">
                  <wp:posOffset>9600565</wp:posOffset>
                </wp:positionV>
                <wp:extent cx="5943600" cy="274320"/>
                <wp:effectExtent l="0" t="0" r="0" b="11430"/>
                <wp:wrapNone/>
                <wp:docPr id="1" name="SWFootPg99"/>
                <wp:cNvGraphicFramePr/>
                <a:graphic xmlns:a="http://schemas.openxmlformats.org/drawingml/2006/main">
                  <a:graphicData uri="http://schemas.microsoft.com/office/word/2010/wordprocessingShape">
                    <wps:wsp>
                      <wps:cNvSpPr txBox="1"/>
                      <wps:spPr>
                        <a:xfrm>
                          <a:off x="0" y="0"/>
                          <a:ext cx="5943600" cy="27432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556B9" w:rsidRPr="00085FF7" w:rsidRDefault="001556B9" w:rsidP="001556B9">
                            <w:pPr>
                              <w:rPr>
                                <w:sz w:val="18"/>
                              </w:rPr>
                            </w:pPr>
                            <w:r>
                              <w:rPr>
                                <w:noProof/>
                                <w:sz w:val="18"/>
                              </w:rPr>
                              <w:t>71397909v.1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SWFootPg99" o:spid="_x0000_s1026" type="#_x0000_t202" style="position:absolute;margin-left:7pt;margin-top:755.95pt;width:468pt;height:21.6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" o:allowincell="f" filled="f" stroked="f" strokeweight=".5pt">
                <v:textbox inset="0,0,0,0">
                  <w:txbxContent>
                    <w:p w:rsidR="001556B9" w:rsidRPr="00085FF7" w:rsidRDefault="001556B9" w:rsidP="001556B9">
                      <w:pPr>
                        <w:rPr>
                          <w:sz w:val="18"/>
                        </w:rPr>
                      </w:pPr>
                      <w:r>
                        <w:rPr>
                          <w:noProof/>
                          <w:sz w:val="18"/>
                        </w:rPr>
                        <w:t>71397909v.1</w:t>
                      </w:r>
                    </w:p>
                  </w:txbxContent>
                </v:textbox>
                <w10:wrap anchory="page"/>
              </v:shape>
            </w:pict>
          </mc:Fallback>
        </mc:AlternateContent>
      </w:r>
    </w:p>
    <w:sectPr w:rsidR="00C82BBD" w:rsidRPr="00C82BBD" w:rsidSect="00F23167">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25B" w:rsidRDefault="0008425B">
      <w:r>
        <w:separator/>
      </w:r>
    </w:p>
  </w:endnote>
  <w:endnote w:type="continuationSeparator" w:id="0">
    <w:p w:rsidR="0008425B" w:rsidRDefault="0008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780368"/>
      <w:docPartObj>
        <w:docPartGallery w:val="Page Numbers (Bottom of Page)"/>
        <w:docPartUnique/>
      </w:docPartObj>
    </w:sdtPr>
    <w:sdtEndPr>
      <w:rPr>
        <w:noProof/>
      </w:rPr>
    </w:sdtEndPr>
    <w:sdtContent>
      <w:p w:rsidR="005C0B39" w:rsidRDefault="00CF08DF">
        <w:pPr>
          <w:pStyle w:val="Footer"/>
          <w:jc w:val="center"/>
        </w:pPr>
        <w:r>
          <w:fldChar w:fldCharType="begin"/>
        </w:r>
        <w:r>
          <w:instrText xml:space="preserve"> PAGE   \* MERGEFORMAT </w:instrText>
        </w:r>
        <w:r>
          <w:fldChar w:fldCharType="separate"/>
        </w:r>
        <w:r w:rsidR="007C7472">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25B" w:rsidRDefault="0008425B" w:rsidP="002065A9">
      <w:r>
        <w:separator/>
      </w:r>
    </w:p>
  </w:footnote>
  <w:footnote w:type="continuationSeparator" w:id="0">
    <w:p w:rsidR="0008425B" w:rsidRDefault="0008425B" w:rsidP="002065A9">
      <w:r>
        <w:continuationSeparator/>
      </w:r>
    </w:p>
  </w:footnote>
  <w:footnote w:id="1">
    <w:p w:rsidR="00A06921" w:rsidRDefault="00A06921">
      <w:pPr>
        <w:pStyle w:val="FootnoteText"/>
      </w:pPr>
      <w:r>
        <w:rPr>
          <w:rStyle w:val="FootnoteReference"/>
        </w:rPr>
        <w:footnoteRef/>
      </w:r>
      <w:r>
        <w:t xml:space="preserve"> The ADT Corporation</w:t>
      </w:r>
      <w:r w:rsidR="008239D6">
        <w:t xml:space="preserve"> Comments</w:t>
      </w:r>
      <w:r>
        <w:t xml:space="preserve"> (July 17, 2017): </w:t>
      </w:r>
      <w:hyperlink r:id="rId1" w:history="1">
        <w:r w:rsidRPr="00DA728B">
          <w:rPr>
            <w:rStyle w:val="Hyperlink"/>
          </w:rPr>
          <w:t>https://www.fcc.gov/ecfs/filing/10717214980472</w:t>
        </w:r>
      </w:hyperlink>
    </w:p>
  </w:footnote>
  <w:footnote w:id="2">
    <w:p w:rsidR="00D15FCE" w:rsidRDefault="00D15FCE">
      <w:pPr>
        <w:pStyle w:val="FootnoteText"/>
      </w:pPr>
      <w:r>
        <w:rPr>
          <w:rStyle w:val="FootnoteReference"/>
        </w:rPr>
        <w:footnoteRef/>
      </w:r>
      <w:r>
        <w:t xml:space="preserve"> Incompas </w:t>
      </w:r>
      <w:r w:rsidR="008239D6">
        <w:t xml:space="preserve">Comments at 2 </w:t>
      </w:r>
      <w:r>
        <w:t xml:space="preserve">(July 17, 2017): </w:t>
      </w:r>
      <w:hyperlink r:id="rId2" w:history="1">
        <w:r w:rsidRPr="009F75B7">
          <w:rPr>
            <w:rStyle w:val="Hyperlink"/>
          </w:rPr>
          <w:t>https://ecfsapi.fcc.gov/file/10717259472168/INCOMPAS--RIF%20Comments%20WC%20Docket%20No.%2017-108%20(July%2017%2C%202017).pdf</w:t>
        </w:r>
      </w:hyperlink>
    </w:p>
  </w:footnote>
  <w:footnote w:id="3">
    <w:p w:rsidR="00805515" w:rsidRDefault="00805515" w:rsidP="00805515">
      <w:pPr>
        <w:pStyle w:val="FootnoteText"/>
      </w:pPr>
      <w:r>
        <w:rPr>
          <w:rStyle w:val="FootnoteReference"/>
        </w:rPr>
        <w:footnoteRef/>
      </w:r>
      <w:r>
        <w:t xml:space="preserve"> California Public Utilities Commission </w:t>
      </w:r>
      <w:r w:rsidR="008239D6">
        <w:t>Comments at 27-29</w:t>
      </w:r>
      <w:r>
        <w:t xml:space="preserve">(July 17, 2017): </w:t>
      </w:r>
      <w:hyperlink r:id="rId3" w:history="1">
        <w:r w:rsidRPr="009F75B7">
          <w:rPr>
            <w:rStyle w:val="Hyperlink"/>
          </w:rPr>
          <w:t>https://ecfsapi.fcc.gov/file/107172199528427/WC%20Docket%20No.%2017-108%20CPUC%20Comments%20on%20Restoring%20Internet%20Freedom.pdf</w:t>
        </w:r>
      </w:hyperlink>
    </w:p>
  </w:footnote>
  <w:footnote w:id="4">
    <w:p w:rsidR="005B4C79" w:rsidRDefault="005B4C79" w:rsidP="005B4C79">
      <w:pPr>
        <w:pStyle w:val="FootnoteText"/>
      </w:pPr>
      <w:r>
        <w:rPr>
          <w:rStyle w:val="FootnoteReference"/>
        </w:rPr>
        <w:footnoteRef/>
      </w:r>
      <w:r>
        <w:t xml:space="preserve"> Nokia</w:t>
      </w:r>
      <w:r w:rsidR="008239D6">
        <w:t xml:space="preserve"> Comments at 10</w:t>
      </w:r>
      <w:r>
        <w:t xml:space="preserve"> (July 17, 2017): </w:t>
      </w:r>
      <w:hyperlink r:id="rId4" w:history="1">
        <w:r w:rsidRPr="009F75B7">
          <w:rPr>
            <w:rStyle w:val="Hyperlink"/>
          </w:rPr>
          <w:t>https://ecfsapi.fcc.gov/file/10717861707847/Nokia%20Comments%20Internet%20Freedom%20FINAL%20July%202017%20Final.pdf</w:t>
        </w:r>
      </w:hyperlink>
    </w:p>
  </w:footnote>
  <w:footnote w:id="5">
    <w:p w:rsidR="00D15FCE" w:rsidRDefault="00D15FCE">
      <w:pPr>
        <w:pStyle w:val="FootnoteText"/>
      </w:pPr>
      <w:r>
        <w:rPr>
          <w:rStyle w:val="FootnoteReference"/>
        </w:rPr>
        <w:footnoteRef/>
      </w:r>
      <w:r>
        <w:t xml:space="preserve"> AARP</w:t>
      </w:r>
      <w:r w:rsidR="008239D6">
        <w:t xml:space="preserve"> Comments at 20</w:t>
      </w:r>
      <w:r>
        <w:t xml:space="preserve"> (July 17, 2017): </w:t>
      </w:r>
      <w:hyperlink r:id="rId5" w:history="1">
        <w:r w:rsidRPr="009F75B7">
          <w:rPr>
            <w:rStyle w:val="Hyperlink"/>
          </w:rPr>
          <w:t>https://ecfsapi.fcc.gov/file/10717106187524/AARP_Net_Neutrality_Comments_GN_17-108_7-17-17.pdf</w:t>
        </w:r>
      </w:hyperlink>
    </w:p>
  </w:footnote>
  <w:footnote w:id="6">
    <w:p w:rsidR="009842DA" w:rsidRDefault="009842DA" w:rsidP="009842DA">
      <w:pPr>
        <w:pStyle w:val="FootnoteText"/>
      </w:pPr>
      <w:r>
        <w:rPr>
          <w:rStyle w:val="FootnoteReference"/>
        </w:rPr>
        <w:footnoteRef/>
      </w:r>
      <w:r>
        <w:t xml:space="preserve"> </w:t>
      </w:r>
      <w:r w:rsidR="008239D6">
        <w:t xml:space="preserve">At 20 </w:t>
      </w:r>
      <w:r>
        <w:t xml:space="preserve">AARP (July 17, 2017): </w:t>
      </w:r>
      <w:hyperlink r:id="rId6" w:history="1">
        <w:r w:rsidRPr="009F75B7">
          <w:rPr>
            <w:rStyle w:val="Hyperlink"/>
          </w:rPr>
          <w:t>https://ecfsapi.fcc.gov/file/10717106187524/AARP_Net_Neutrality_Comments_GN_17-108_7-17-17.pdf</w:t>
        </w:r>
      </w:hyperlink>
    </w:p>
  </w:footnote>
  <w:footnote w:id="7">
    <w:p w:rsidR="008239D6" w:rsidRDefault="008239D6">
      <w:pPr>
        <w:pStyle w:val="FootnoteText"/>
      </w:pPr>
      <w:r>
        <w:rPr>
          <w:rStyle w:val="FootnoteReference"/>
        </w:rPr>
        <w:footnoteRef/>
      </w:r>
      <w:r>
        <w:t xml:space="preserve"> </w:t>
      </w:r>
      <w:hyperlink r:id="rId7" w:history="1">
        <w:r w:rsidRPr="00CB48AC">
          <w:rPr>
            <w:rStyle w:val="Hyperlink"/>
          </w:rPr>
          <w:t>http://www.centurylinksecurity.biz/</w:t>
        </w:r>
      </w:hyperlink>
    </w:p>
  </w:footnote>
  <w:footnote w:id="8">
    <w:p w:rsidR="00B9707D" w:rsidRDefault="00B9707D" w:rsidP="00B9707D">
      <w:pPr>
        <w:pStyle w:val="FootnoteText"/>
      </w:pPr>
      <w:r>
        <w:rPr>
          <w:rStyle w:val="FootnoteReference"/>
        </w:rPr>
        <w:footnoteRef/>
      </w:r>
      <w:r>
        <w:t xml:space="preserve"> </w:t>
      </w:r>
      <w:r w:rsidR="008239D6">
        <w:t xml:space="preserve">Century Link Comments at 54-55 (July 17, 2017): </w:t>
      </w:r>
      <w:hyperlink r:id="rId8" w:history="1">
        <w:r w:rsidRPr="00CB48AC">
          <w:rPr>
            <w:rStyle w:val="Hyperlink"/>
          </w:rPr>
          <w:t>https://ecfsapi.fcc.gov/file/1072111667250/170717%20CTL%20Coms-Refiled%20072117%20WC%2017-108%20FINAL.pdf</w:t>
        </w:r>
      </w:hyperlink>
      <w:r>
        <w:t xml:space="preserve"> (Pages 54-55)</w:t>
      </w:r>
    </w:p>
  </w:footnote>
  <w:footnote w:id="9">
    <w:p w:rsidR="00833066" w:rsidRDefault="00833066">
      <w:pPr>
        <w:pStyle w:val="FootnoteText"/>
      </w:pPr>
      <w:r>
        <w:rPr>
          <w:rStyle w:val="FootnoteReference"/>
        </w:rPr>
        <w:footnoteRef/>
      </w:r>
      <w:r>
        <w:t xml:space="preserve"> </w:t>
      </w:r>
      <w:r w:rsidRPr="00833066">
        <w:rPr>
          <w:i/>
        </w:rPr>
        <w:t>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B39" w:rsidRDefault="004B7987" w:rsidP="000753CF">
    <w:pPr>
      <w:spacing w:line="480" w:lineRule="auto"/>
    </w:pPr>
    <w:r>
      <w:t>WC Docket No. 17-108; ADT</w:t>
    </w:r>
    <w:r w:rsidR="00CD73B6">
      <w:t xml:space="preserve"> Reply</w:t>
    </w:r>
    <w:r>
      <w:t xml:space="preserve"> Comments; </w:t>
    </w:r>
    <w:r w:rsidR="00CD73B6">
      <w:t>August</w:t>
    </w:r>
    <w:r w:rsidR="00624B12">
      <w:t xml:space="preserve"> 30</w:t>
    </w:r>
    <w:r>
      <w:t>,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0AA9"/>
    <w:multiLevelType w:val="hybridMultilevel"/>
    <w:tmpl w:val="2AAED7D2"/>
    <w:lvl w:ilvl="0" w:tplc="03D45B3A">
      <w:start w:val="1"/>
      <w:numFmt w:val="bullet"/>
      <w:lvlText w:val=""/>
      <w:lvlJc w:val="left"/>
      <w:pPr>
        <w:ind w:left="720" w:hanging="360"/>
      </w:pPr>
      <w:rPr>
        <w:rFonts w:ascii="Symbol" w:hAnsi="Symbol" w:hint="default"/>
      </w:rPr>
    </w:lvl>
    <w:lvl w:ilvl="1" w:tplc="472E3678">
      <w:start w:val="1"/>
      <w:numFmt w:val="bullet"/>
      <w:lvlText w:val="o"/>
      <w:lvlJc w:val="left"/>
      <w:pPr>
        <w:ind w:left="1440" w:hanging="360"/>
      </w:pPr>
      <w:rPr>
        <w:rFonts w:ascii="Courier New" w:hAnsi="Courier New" w:cs="Courier New" w:hint="default"/>
      </w:rPr>
    </w:lvl>
    <w:lvl w:ilvl="2" w:tplc="E628307A" w:tentative="1">
      <w:start w:val="1"/>
      <w:numFmt w:val="bullet"/>
      <w:lvlText w:val=""/>
      <w:lvlJc w:val="left"/>
      <w:pPr>
        <w:ind w:left="2160" w:hanging="360"/>
      </w:pPr>
      <w:rPr>
        <w:rFonts w:ascii="Wingdings" w:hAnsi="Wingdings" w:hint="default"/>
      </w:rPr>
    </w:lvl>
    <w:lvl w:ilvl="3" w:tplc="3D763B4E" w:tentative="1">
      <w:start w:val="1"/>
      <w:numFmt w:val="bullet"/>
      <w:lvlText w:val=""/>
      <w:lvlJc w:val="left"/>
      <w:pPr>
        <w:ind w:left="2880" w:hanging="360"/>
      </w:pPr>
      <w:rPr>
        <w:rFonts w:ascii="Symbol" w:hAnsi="Symbol" w:hint="default"/>
      </w:rPr>
    </w:lvl>
    <w:lvl w:ilvl="4" w:tplc="77D49708" w:tentative="1">
      <w:start w:val="1"/>
      <w:numFmt w:val="bullet"/>
      <w:lvlText w:val="o"/>
      <w:lvlJc w:val="left"/>
      <w:pPr>
        <w:ind w:left="3600" w:hanging="360"/>
      </w:pPr>
      <w:rPr>
        <w:rFonts w:ascii="Courier New" w:hAnsi="Courier New" w:cs="Courier New" w:hint="default"/>
      </w:rPr>
    </w:lvl>
    <w:lvl w:ilvl="5" w:tplc="987E9242" w:tentative="1">
      <w:start w:val="1"/>
      <w:numFmt w:val="bullet"/>
      <w:lvlText w:val=""/>
      <w:lvlJc w:val="left"/>
      <w:pPr>
        <w:ind w:left="4320" w:hanging="360"/>
      </w:pPr>
      <w:rPr>
        <w:rFonts w:ascii="Wingdings" w:hAnsi="Wingdings" w:hint="default"/>
      </w:rPr>
    </w:lvl>
    <w:lvl w:ilvl="6" w:tplc="93C8F142" w:tentative="1">
      <w:start w:val="1"/>
      <w:numFmt w:val="bullet"/>
      <w:lvlText w:val=""/>
      <w:lvlJc w:val="left"/>
      <w:pPr>
        <w:ind w:left="5040" w:hanging="360"/>
      </w:pPr>
      <w:rPr>
        <w:rFonts w:ascii="Symbol" w:hAnsi="Symbol" w:hint="default"/>
      </w:rPr>
    </w:lvl>
    <w:lvl w:ilvl="7" w:tplc="08C6D810" w:tentative="1">
      <w:start w:val="1"/>
      <w:numFmt w:val="bullet"/>
      <w:lvlText w:val="o"/>
      <w:lvlJc w:val="left"/>
      <w:pPr>
        <w:ind w:left="5760" w:hanging="360"/>
      </w:pPr>
      <w:rPr>
        <w:rFonts w:ascii="Courier New" w:hAnsi="Courier New" w:cs="Courier New" w:hint="default"/>
      </w:rPr>
    </w:lvl>
    <w:lvl w:ilvl="8" w:tplc="852459BC" w:tentative="1">
      <w:start w:val="1"/>
      <w:numFmt w:val="bullet"/>
      <w:lvlText w:val=""/>
      <w:lvlJc w:val="left"/>
      <w:pPr>
        <w:ind w:left="6480" w:hanging="360"/>
      </w:pPr>
      <w:rPr>
        <w:rFonts w:ascii="Wingdings" w:hAnsi="Wingdings" w:hint="default"/>
      </w:rPr>
    </w:lvl>
  </w:abstractNum>
  <w:abstractNum w:abstractNumId="1" w15:restartNumberingAfterBreak="0">
    <w:nsid w:val="25637A62"/>
    <w:multiLevelType w:val="multilevel"/>
    <w:tmpl w:val="258CEEA8"/>
    <w:name w:val="Heading"/>
    <w:lvl w:ilvl="0">
      <w:start w:val="1"/>
      <w:numFmt w:val="upperRoman"/>
      <w:pStyle w:val="Heading1"/>
      <w:lvlText w:val="%1."/>
      <w:lvlJc w:val="left"/>
      <w:pPr>
        <w:tabs>
          <w:tab w:val="num" w:pos="0"/>
        </w:tabs>
        <w:ind w:left="720" w:hanging="720"/>
      </w:pPr>
      <w:rPr>
        <w:strike w:val="0"/>
        <w:dstrike w:val="0"/>
      </w:rPr>
    </w:lvl>
    <w:lvl w:ilvl="1">
      <w:start w:val="1"/>
      <w:numFmt w:val="upperLetter"/>
      <w:pStyle w:val="Heading2"/>
      <w:lvlText w:val="%2."/>
      <w:lvlJc w:val="left"/>
      <w:pPr>
        <w:tabs>
          <w:tab w:val="num" w:pos="0"/>
        </w:tabs>
        <w:ind w:left="1440" w:hanging="720"/>
      </w:pPr>
      <w:rPr>
        <w:strike w:val="0"/>
        <w:dstrike w:val="0"/>
      </w:rPr>
    </w:lvl>
    <w:lvl w:ilvl="2">
      <w:start w:val="1"/>
      <w:numFmt w:val="lowerRoman"/>
      <w:pStyle w:val="Heading3"/>
      <w:lvlText w:val="%3"/>
      <w:lvlJc w:val="left"/>
      <w:pPr>
        <w:tabs>
          <w:tab w:val="num" w:pos="0"/>
        </w:tabs>
        <w:ind w:left="2160" w:hanging="720"/>
      </w:pPr>
      <w:rPr>
        <w:strike w:val="0"/>
        <w:dstrike w:val="0"/>
      </w:rPr>
    </w:lvl>
    <w:lvl w:ilvl="3">
      <w:start w:val="1"/>
      <w:numFmt w:val="none"/>
      <w:pStyle w:val="Heading4"/>
      <w:suff w:val="nothing"/>
      <w:lvlText w:val=""/>
      <w:lvlJc w:val="left"/>
      <w:pPr>
        <w:tabs>
          <w:tab w:val="num" w:pos="0"/>
        </w:tabs>
        <w:ind w:left="0" w:firstLine="0"/>
      </w:pPr>
      <w:rPr>
        <w:strike w:val="0"/>
        <w:dstrike w:val="0"/>
      </w:rPr>
    </w:lvl>
    <w:lvl w:ilvl="4">
      <w:start w:val="1"/>
      <w:numFmt w:val="none"/>
      <w:pStyle w:val="Heading5"/>
      <w:suff w:val="nothing"/>
      <w:lvlText w:val=""/>
      <w:lvlJc w:val="left"/>
      <w:pPr>
        <w:tabs>
          <w:tab w:val="num" w:pos="0"/>
        </w:tabs>
        <w:ind w:left="0" w:firstLine="0"/>
      </w:pPr>
      <w:rPr>
        <w:strike w:val="0"/>
        <w:dstrike w:val="0"/>
      </w:rPr>
    </w:lvl>
    <w:lvl w:ilvl="5">
      <w:start w:val="1"/>
      <w:numFmt w:val="none"/>
      <w:pStyle w:val="Heading6"/>
      <w:suff w:val="nothing"/>
      <w:lvlText w:val=""/>
      <w:lvlJc w:val="left"/>
      <w:pPr>
        <w:tabs>
          <w:tab w:val="num" w:pos="0"/>
        </w:tabs>
        <w:ind w:left="0" w:firstLine="0"/>
      </w:pPr>
      <w:rPr>
        <w:strike w:val="0"/>
        <w:dstrike w:val="0"/>
      </w:rPr>
    </w:lvl>
    <w:lvl w:ilvl="6">
      <w:start w:val="1"/>
      <w:numFmt w:val="none"/>
      <w:pStyle w:val="Heading7"/>
      <w:suff w:val="nothing"/>
      <w:lvlText w:val=""/>
      <w:lvlJc w:val="left"/>
      <w:pPr>
        <w:tabs>
          <w:tab w:val="num" w:pos="0"/>
        </w:tabs>
        <w:ind w:left="0" w:firstLine="0"/>
      </w:pPr>
      <w:rPr>
        <w:strike w:val="0"/>
        <w:dstrike w:val="0"/>
      </w:rPr>
    </w:lvl>
    <w:lvl w:ilvl="7">
      <w:start w:val="1"/>
      <w:numFmt w:val="none"/>
      <w:pStyle w:val="Heading8"/>
      <w:suff w:val="nothing"/>
      <w:lvlText w:val=""/>
      <w:lvlJc w:val="left"/>
      <w:pPr>
        <w:tabs>
          <w:tab w:val="num" w:pos="0"/>
        </w:tabs>
        <w:ind w:left="0" w:firstLine="0"/>
      </w:pPr>
      <w:rPr>
        <w:strike w:val="0"/>
        <w:dstrike w:val="0"/>
      </w:rPr>
    </w:lvl>
    <w:lvl w:ilvl="8">
      <w:start w:val="1"/>
      <w:numFmt w:val="none"/>
      <w:pStyle w:val="Heading9"/>
      <w:suff w:val="nothing"/>
      <w:lvlText w:val=""/>
      <w:lvlJc w:val="left"/>
      <w:pPr>
        <w:tabs>
          <w:tab w:val="num" w:pos="0"/>
        </w:tabs>
        <w:ind w:left="0" w:firstLine="0"/>
      </w:pPr>
      <w:rPr>
        <w:strike w:val="0"/>
        <w:dstrike w:val="0"/>
      </w:rPr>
    </w:lvl>
  </w:abstractNum>
  <w:abstractNum w:abstractNumId="2" w15:restartNumberingAfterBreak="0">
    <w:nsid w:val="39665062"/>
    <w:multiLevelType w:val="hybridMultilevel"/>
    <w:tmpl w:val="052E3902"/>
    <w:name w:val="Heading2"/>
    <w:lvl w:ilvl="0" w:tplc="ECBC93EE">
      <w:start w:val="1"/>
      <w:numFmt w:val="bullet"/>
      <w:lvlText w:val=""/>
      <w:lvlJc w:val="left"/>
      <w:pPr>
        <w:ind w:left="720" w:hanging="360"/>
      </w:pPr>
      <w:rPr>
        <w:rFonts w:ascii="Symbol" w:hAnsi="Symbol" w:hint="default"/>
      </w:rPr>
    </w:lvl>
    <w:lvl w:ilvl="1" w:tplc="B592392C" w:tentative="1">
      <w:start w:val="1"/>
      <w:numFmt w:val="bullet"/>
      <w:lvlText w:val="o"/>
      <w:lvlJc w:val="left"/>
      <w:pPr>
        <w:ind w:left="1440" w:hanging="360"/>
      </w:pPr>
      <w:rPr>
        <w:rFonts w:ascii="Courier New" w:hAnsi="Courier New" w:cs="Courier New" w:hint="default"/>
      </w:rPr>
    </w:lvl>
    <w:lvl w:ilvl="2" w:tplc="DE5E7E10" w:tentative="1">
      <w:start w:val="1"/>
      <w:numFmt w:val="bullet"/>
      <w:lvlText w:val=""/>
      <w:lvlJc w:val="left"/>
      <w:pPr>
        <w:ind w:left="2160" w:hanging="360"/>
      </w:pPr>
      <w:rPr>
        <w:rFonts w:ascii="Wingdings" w:hAnsi="Wingdings" w:hint="default"/>
      </w:rPr>
    </w:lvl>
    <w:lvl w:ilvl="3" w:tplc="BD142CFE" w:tentative="1">
      <w:start w:val="1"/>
      <w:numFmt w:val="bullet"/>
      <w:lvlText w:val=""/>
      <w:lvlJc w:val="left"/>
      <w:pPr>
        <w:ind w:left="2880" w:hanging="360"/>
      </w:pPr>
      <w:rPr>
        <w:rFonts w:ascii="Symbol" w:hAnsi="Symbol" w:hint="default"/>
      </w:rPr>
    </w:lvl>
    <w:lvl w:ilvl="4" w:tplc="52166FF6" w:tentative="1">
      <w:start w:val="1"/>
      <w:numFmt w:val="bullet"/>
      <w:lvlText w:val="o"/>
      <w:lvlJc w:val="left"/>
      <w:pPr>
        <w:ind w:left="3600" w:hanging="360"/>
      </w:pPr>
      <w:rPr>
        <w:rFonts w:ascii="Courier New" w:hAnsi="Courier New" w:cs="Courier New" w:hint="default"/>
      </w:rPr>
    </w:lvl>
    <w:lvl w:ilvl="5" w:tplc="92EA997C" w:tentative="1">
      <w:start w:val="1"/>
      <w:numFmt w:val="bullet"/>
      <w:lvlText w:val=""/>
      <w:lvlJc w:val="left"/>
      <w:pPr>
        <w:ind w:left="4320" w:hanging="360"/>
      </w:pPr>
      <w:rPr>
        <w:rFonts w:ascii="Wingdings" w:hAnsi="Wingdings" w:hint="default"/>
      </w:rPr>
    </w:lvl>
    <w:lvl w:ilvl="6" w:tplc="C3AC16F8" w:tentative="1">
      <w:start w:val="1"/>
      <w:numFmt w:val="bullet"/>
      <w:lvlText w:val=""/>
      <w:lvlJc w:val="left"/>
      <w:pPr>
        <w:ind w:left="5040" w:hanging="360"/>
      </w:pPr>
      <w:rPr>
        <w:rFonts w:ascii="Symbol" w:hAnsi="Symbol" w:hint="default"/>
      </w:rPr>
    </w:lvl>
    <w:lvl w:ilvl="7" w:tplc="A2AC358A" w:tentative="1">
      <w:start w:val="1"/>
      <w:numFmt w:val="bullet"/>
      <w:lvlText w:val="o"/>
      <w:lvlJc w:val="left"/>
      <w:pPr>
        <w:ind w:left="5760" w:hanging="360"/>
      </w:pPr>
      <w:rPr>
        <w:rFonts w:ascii="Courier New" w:hAnsi="Courier New" w:cs="Courier New" w:hint="default"/>
      </w:rPr>
    </w:lvl>
    <w:lvl w:ilvl="8" w:tplc="7BC22156"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ActiveDesign" w:val="Heading"/>
    <w:docVar w:name="SWAllDesigns" w:val="Heading|"/>
    <w:docVar w:name="SWAllLineBreaks" w:val="Heading~~0|0|0|0|0|0|0|0|0|@@"/>
    <w:docVar w:name="SWDocIDLayout" w:val="42"/>
    <w:docVar w:name="SWDocIDLocation" w:val="3"/>
    <w:docVar w:name="SWTOCLevelsInfo" w:val="1=1|.  |3|0|0|@@2=1|.  |3|0|0|@@3=1|.  |3|0|0|@@"/>
    <w:docVar w:name="SWTOCLinkToLevel" w:val="Heading 1=1|Heading 2=2|Heading 3=3|"/>
    <w:docVar w:name="SWTOCOtherProperties" w:val="InsertStyleSeparators=0|TCFields=C|PreserveLineBreaks=True|CreateHyperlinks=True|IncludeHeaderFooterText=False|"/>
    <w:docVar w:name="SWTOCProperties" w:val="2|0|0|0|0|0|0|"/>
  </w:docVars>
  <w:rsids>
    <w:rsidRoot w:val="00801138"/>
    <w:rsid w:val="00011890"/>
    <w:rsid w:val="0008425B"/>
    <w:rsid w:val="00085FF7"/>
    <w:rsid w:val="000A4B3D"/>
    <w:rsid w:val="001556B9"/>
    <w:rsid w:val="001621D1"/>
    <w:rsid w:val="00181B83"/>
    <w:rsid w:val="001B25FF"/>
    <w:rsid w:val="001C79D0"/>
    <w:rsid w:val="001D4672"/>
    <w:rsid w:val="001F2BBD"/>
    <w:rsid w:val="00206C69"/>
    <w:rsid w:val="00243CBD"/>
    <w:rsid w:val="00293510"/>
    <w:rsid w:val="002A01B5"/>
    <w:rsid w:val="002E2B43"/>
    <w:rsid w:val="00314344"/>
    <w:rsid w:val="00340097"/>
    <w:rsid w:val="003618DE"/>
    <w:rsid w:val="00366F45"/>
    <w:rsid w:val="003768CB"/>
    <w:rsid w:val="003D28E6"/>
    <w:rsid w:val="004134CC"/>
    <w:rsid w:val="00421850"/>
    <w:rsid w:val="004414AE"/>
    <w:rsid w:val="0044387B"/>
    <w:rsid w:val="0048282E"/>
    <w:rsid w:val="004B3F5D"/>
    <w:rsid w:val="004B7987"/>
    <w:rsid w:val="004D11EB"/>
    <w:rsid w:val="004D22AF"/>
    <w:rsid w:val="005149F8"/>
    <w:rsid w:val="005941E1"/>
    <w:rsid w:val="005A1260"/>
    <w:rsid w:val="005B4C79"/>
    <w:rsid w:val="005B68CC"/>
    <w:rsid w:val="005D08B5"/>
    <w:rsid w:val="005D2B3D"/>
    <w:rsid w:val="005E5B87"/>
    <w:rsid w:val="00623F60"/>
    <w:rsid w:val="00624B12"/>
    <w:rsid w:val="00665701"/>
    <w:rsid w:val="00666FBB"/>
    <w:rsid w:val="00695EDE"/>
    <w:rsid w:val="006B7BF6"/>
    <w:rsid w:val="006C09CD"/>
    <w:rsid w:val="006D09E0"/>
    <w:rsid w:val="006F3F31"/>
    <w:rsid w:val="0071629C"/>
    <w:rsid w:val="007B26D8"/>
    <w:rsid w:val="007C7472"/>
    <w:rsid w:val="007D2A9B"/>
    <w:rsid w:val="007F3327"/>
    <w:rsid w:val="00801138"/>
    <w:rsid w:val="00805515"/>
    <w:rsid w:val="00810B2E"/>
    <w:rsid w:val="00811BA9"/>
    <w:rsid w:val="008239D6"/>
    <w:rsid w:val="008300DB"/>
    <w:rsid w:val="00833066"/>
    <w:rsid w:val="008511FE"/>
    <w:rsid w:val="00873DC7"/>
    <w:rsid w:val="008B15B3"/>
    <w:rsid w:val="008D2929"/>
    <w:rsid w:val="008D5B12"/>
    <w:rsid w:val="008E1C4F"/>
    <w:rsid w:val="008F5E07"/>
    <w:rsid w:val="00902F87"/>
    <w:rsid w:val="00910042"/>
    <w:rsid w:val="009123A3"/>
    <w:rsid w:val="009257F1"/>
    <w:rsid w:val="00926E97"/>
    <w:rsid w:val="009279A8"/>
    <w:rsid w:val="00963187"/>
    <w:rsid w:val="00975452"/>
    <w:rsid w:val="009842DA"/>
    <w:rsid w:val="00A06921"/>
    <w:rsid w:val="00A12EEE"/>
    <w:rsid w:val="00A31536"/>
    <w:rsid w:val="00A66688"/>
    <w:rsid w:val="00AC708E"/>
    <w:rsid w:val="00AE6ACD"/>
    <w:rsid w:val="00B9707D"/>
    <w:rsid w:val="00BA105F"/>
    <w:rsid w:val="00BF1CFF"/>
    <w:rsid w:val="00C027E2"/>
    <w:rsid w:val="00C04D1B"/>
    <w:rsid w:val="00C13154"/>
    <w:rsid w:val="00C71403"/>
    <w:rsid w:val="00CD73B6"/>
    <w:rsid w:val="00CE46EC"/>
    <w:rsid w:val="00CF08DF"/>
    <w:rsid w:val="00D15FCE"/>
    <w:rsid w:val="00D23CD5"/>
    <w:rsid w:val="00D41AB9"/>
    <w:rsid w:val="00DA2884"/>
    <w:rsid w:val="00DB07BE"/>
    <w:rsid w:val="00F06B03"/>
    <w:rsid w:val="00F06CC4"/>
    <w:rsid w:val="00F23541"/>
    <w:rsid w:val="00F50D06"/>
    <w:rsid w:val="00F97644"/>
    <w:rsid w:val="00FA2F29"/>
    <w:rsid w:val="00FA56EC"/>
    <w:rsid w:val="00FC0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2537D0"/>
    <w:pPr>
      <w:numPr>
        <w:numId w:val="1"/>
      </w:numPr>
      <w:tabs>
        <w:tab w:val="clear" w:pos="0"/>
      </w:tab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unhideWhenUsed/>
    <w:qFormat/>
    <w:rsid w:val="002537D0"/>
    <w:pPr>
      <w:numPr>
        <w:ilvl w:val="1"/>
        <w:numId w:val="1"/>
      </w:numPr>
      <w:spacing w:after="240"/>
      <w:outlineLvl w:val="1"/>
    </w:pPr>
    <w:rPr>
      <w:rFonts w:eastAsiaTheme="majorEastAsia" w:cstheme="majorBidi"/>
      <w:b/>
      <w:bCs/>
      <w:caps/>
      <w:color w:val="000000" w:themeColor="text1"/>
      <w:szCs w:val="26"/>
    </w:rPr>
  </w:style>
  <w:style w:type="paragraph" w:styleId="Heading3">
    <w:name w:val="heading 3"/>
    <w:basedOn w:val="Normal"/>
    <w:next w:val="Normal"/>
    <w:link w:val="Heading3Char"/>
    <w:uiPriority w:val="9"/>
    <w:unhideWhenUsed/>
    <w:qFormat/>
    <w:rsid w:val="002537D0"/>
    <w:pPr>
      <w:numPr>
        <w:ilvl w:val="2"/>
        <w:numId w:val="1"/>
      </w:numPr>
      <w:tabs>
        <w:tab w:val="clear" w:pos="0"/>
      </w:tabs>
      <w:outlineLvl w:val="2"/>
    </w:pPr>
    <w:rPr>
      <w:rFonts w:eastAsiaTheme="majorEastAsia" w:cstheme="majorBidi"/>
      <w:b/>
      <w:bCs/>
      <w:color w:val="000000" w:themeColor="text1"/>
    </w:rPr>
  </w:style>
  <w:style w:type="paragraph" w:styleId="Heading4">
    <w:name w:val="heading 4"/>
    <w:basedOn w:val="Normal"/>
    <w:next w:val="BodyText"/>
    <w:link w:val="Heading4Char"/>
    <w:uiPriority w:val="9"/>
    <w:semiHidden/>
    <w:unhideWhenUsed/>
    <w:qFormat/>
    <w:rsid w:val="002537D0"/>
    <w:pPr>
      <w:keepNext/>
      <w:keepLines/>
      <w:numPr>
        <w:ilvl w:val="3"/>
        <w:numId w:val="1"/>
      </w:numPr>
      <w:tabs>
        <w:tab w:val="clear" w:pos="0"/>
      </w:tabs>
      <w:spacing w:after="240"/>
      <w:outlineLvl w:val="3"/>
    </w:pPr>
    <w:rPr>
      <w:rFonts w:eastAsiaTheme="majorEastAsia" w:cstheme="majorBidi"/>
      <w:bCs/>
      <w:i/>
      <w:iCs/>
      <w:color w:val="000000" w:themeColor="text1"/>
    </w:rPr>
  </w:style>
  <w:style w:type="paragraph" w:styleId="Heading5">
    <w:name w:val="heading 5"/>
    <w:basedOn w:val="Normal"/>
    <w:next w:val="BodyText"/>
    <w:link w:val="Heading5Char"/>
    <w:uiPriority w:val="9"/>
    <w:unhideWhenUsed/>
    <w:qFormat/>
    <w:rsid w:val="002537D0"/>
    <w:pPr>
      <w:keepNext/>
      <w:keepLines/>
      <w:numPr>
        <w:ilvl w:val="4"/>
        <w:numId w:val="1"/>
      </w:numPr>
      <w:tabs>
        <w:tab w:val="clear" w:pos="0"/>
      </w:tabs>
      <w:spacing w:after="240"/>
      <w:outlineLvl w:val="4"/>
    </w:pPr>
    <w:rPr>
      <w:rFonts w:eastAsiaTheme="majorEastAsia" w:cstheme="majorBidi"/>
      <w:color w:val="000000" w:themeColor="text1"/>
    </w:rPr>
  </w:style>
  <w:style w:type="paragraph" w:styleId="Heading6">
    <w:name w:val="heading 6"/>
    <w:basedOn w:val="Normal"/>
    <w:next w:val="BodyText"/>
    <w:link w:val="Heading6Char"/>
    <w:uiPriority w:val="9"/>
    <w:semiHidden/>
    <w:unhideWhenUsed/>
    <w:qFormat/>
    <w:rsid w:val="002537D0"/>
    <w:pPr>
      <w:keepNext/>
      <w:keepLines/>
      <w:numPr>
        <w:ilvl w:val="5"/>
        <w:numId w:val="1"/>
      </w:numPr>
      <w:tabs>
        <w:tab w:val="clear" w:pos="0"/>
      </w:tabs>
      <w:spacing w:after="240"/>
      <w:outlineLvl w:val="5"/>
    </w:pPr>
    <w:rPr>
      <w:rFonts w:eastAsiaTheme="majorEastAsia" w:cstheme="majorBidi"/>
      <w:i/>
      <w:iCs/>
      <w:color w:val="000000" w:themeColor="text1"/>
    </w:rPr>
  </w:style>
  <w:style w:type="paragraph" w:styleId="Heading7">
    <w:name w:val="heading 7"/>
    <w:basedOn w:val="Normal"/>
    <w:next w:val="BodyText"/>
    <w:link w:val="Heading7Char"/>
    <w:uiPriority w:val="9"/>
    <w:semiHidden/>
    <w:unhideWhenUsed/>
    <w:qFormat/>
    <w:rsid w:val="002537D0"/>
    <w:pPr>
      <w:keepNext/>
      <w:keepLines/>
      <w:numPr>
        <w:ilvl w:val="6"/>
        <w:numId w:val="1"/>
      </w:numPr>
      <w:tabs>
        <w:tab w:val="clear" w:pos="0"/>
      </w:tab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BodyText"/>
    <w:link w:val="Heading8Char"/>
    <w:uiPriority w:val="9"/>
    <w:semiHidden/>
    <w:unhideWhenUsed/>
    <w:qFormat/>
    <w:rsid w:val="002537D0"/>
    <w:pPr>
      <w:keepNext/>
      <w:keepLines/>
      <w:numPr>
        <w:ilvl w:val="7"/>
        <w:numId w:val="1"/>
      </w:numPr>
      <w:tabs>
        <w:tab w:val="clear" w:pos="0"/>
      </w:tab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BodyText"/>
    <w:link w:val="Heading9Char"/>
    <w:uiPriority w:val="9"/>
    <w:semiHidden/>
    <w:unhideWhenUsed/>
    <w:qFormat/>
    <w:rsid w:val="002537D0"/>
    <w:pPr>
      <w:keepNext/>
      <w:keepLines/>
      <w:numPr>
        <w:ilvl w:val="8"/>
        <w:numId w:val="1"/>
      </w:numPr>
      <w:tabs>
        <w:tab w:val="clear" w:pos="0"/>
      </w:tab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37D0"/>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rsid w:val="002537D0"/>
    <w:rPr>
      <w:rFonts w:ascii="Times New Roman" w:eastAsiaTheme="majorEastAsia" w:hAnsi="Times New Roman" w:cstheme="majorBidi"/>
      <w:b/>
      <w:bCs/>
      <w:caps/>
      <w:color w:val="000000" w:themeColor="text1"/>
      <w:sz w:val="24"/>
      <w:szCs w:val="26"/>
    </w:rPr>
  </w:style>
  <w:style w:type="character" w:customStyle="1" w:styleId="Heading3Char">
    <w:name w:val="Heading 3 Char"/>
    <w:basedOn w:val="DefaultParagraphFont"/>
    <w:link w:val="Heading3"/>
    <w:uiPriority w:val="9"/>
    <w:rsid w:val="002537D0"/>
    <w:rPr>
      <w:rFonts w:ascii="Times New Roman" w:eastAsiaTheme="majorEastAsia" w:hAnsi="Times New Roman" w:cstheme="majorBidi"/>
      <w:b/>
      <w:bCs/>
      <w:color w:val="000000" w:themeColor="text1"/>
      <w:sz w:val="24"/>
    </w:rPr>
  </w:style>
  <w:style w:type="character" w:customStyle="1" w:styleId="Heading4Char">
    <w:name w:val="Heading 4 Char"/>
    <w:basedOn w:val="DefaultParagraphFont"/>
    <w:link w:val="Heading4"/>
    <w:uiPriority w:val="9"/>
    <w:semiHidden/>
    <w:rsid w:val="002537D0"/>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2537D0"/>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2537D0"/>
    <w:rPr>
      <w:rFonts w:ascii="Times New Roman" w:eastAsiaTheme="majorEastAsia" w:hAnsi="Times New Roman" w:cstheme="majorBidi"/>
      <w:i/>
      <w:iCs/>
      <w:color w:val="000000" w:themeColor="text1"/>
      <w:sz w:val="24"/>
    </w:rPr>
  </w:style>
  <w:style w:type="paragraph" w:styleId="Header">
    <w:name w:val="header"/>
    <w:basedOn w:val="Normal"/>
    <w:link w:val="HeaderChar"/>
    <w:uiPriority w:val="99"/>
    <w:unhideWhenUsed/>
    <w:rsid w:val="002065A9"/>
    <w:pPr>
      <w:tabs>
        <w:tab w:val="center" w:pos="4680"/>
        <w:tab w:val="right" w:pos="9360"/>
      </w:tabs>
    </w:pPr>
  </w:style>
  <w:style w:type="character" w:customStyle="1" w:styleId="HeaderChar">
    <w:name w:val="Header Char"/>
    <w:basedOn w:val="DefaultParagraphFont"/>
    <w:link w:val="Header"/>
    <w:uiPriority w:val="99"/>
    <w:rsid w:val="002065A9"/>
    <w:rPr>
      <w:rFonts w:ascii="Times New Roman" w:hAnsi="Times New Roman"/>
      <w:sz w:val="24"/>
    </w:rPr>
  </w:style>
  <w:style w:type="paragraph" w:styleId="Footer">
    <w:name w:val="footer"/>
    <w:basedOn w:val="Normal"/>
    <w:link w:val="FooterChar"/>
    <w:uiPriority w:val="99"/>
    <w:unhideWhenUsed/>
    <w:rsid w:val="002065A9"/>
    <w:pPr>
      <w:tabs>
        <w:tab w:val="center" w:pos="4680"/>
        <w:tab w:val="right" w:pos="9360"/>
      </w:tabs>
    </w:pPr>
  </w:style>
  <w:style w:type="character" w:customStyle="1" w:styleId="FooterChar">
    <w:name w:val="Footer Char"/>
    <w:basedOn w:val="DefaultParagraphFont"/>
    <w:link w:val="Footer"/>
    <w:uiPriority w:val="99"/>
    <w:rsid w:val="002065A9"/>
    <w:rPr>
      <w:rFonts w:ascii="Times New Roman" w:hAnsi="Times New Roman"/>
      <w:sz w:val="24"/>
    </w:rPr>
  </w:style>
  <w:style w:type="table" w:styleId="TableGrid">
    <w:name w:val="Table Grid"/>
    <w:basedOn w:val="TableNormal"/>
    <w:uiPriority w:val="59"/>
    <w:rsid w:val="00485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2537D0"/>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2537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537D0"/>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semiHidden/>
    <w:unhideWhenUsed/>
    <w:rsid w:val="00A52153"/>
    <w:pPr>
      <w:spacing w:after="120"/>
    </w:pPr>
  </w:style>
  <w:style w:type="character" w:customStyle="1" w:styleId="BodyTextChar">
    <w:name w:val="Body Text Char"/>
    <w:basedOn w:val="DefaultParagraphFont"/>
    <w:link w:val="BodyText"/>
    <w:uiPriority w:val="99"/>
    <w:semiHidden/>
    <w:rsid w:val="00A52153"/>
    <w:rPr>
      <w:rFonts w:ascii="Times New Roman" w:hAnsi="Times New Roman"/>
      <w:sz w:val="24"/>
    </w:rPr>
  </w:style>
  <w:style w:type="character" w:styleId="FootnoteReference">
    <w:name w:val="footnote reference"/>
    <w:basedOn w:val="DefaultParagraphFont"/>
    <w:uiPriority w:val="99"/>
    <w:unhideWhenUsed/>
    <w:rsid w:val="00A52153"/>
    <w:rPr>
      <w:vertAlign w:val="superscript"/>
    </w:rPr>
  </w:style>
  <w:style w:type="paragraph" w:styleId="FootnoteText">
    <w:name w:val="footnote text"/>
    <w:basedOn w:val="Normal"/>
    <w:link w:val="FootnoteTextChar"/>
    <w:uiPriority w:val="99"/>
    <w:semiHidden/>
    <w:unhideWhenUsed/>
    <w:rsid w:val="00A52153"/>
    <w:rPr>
      <w:sz w:val="20"/>
      <w:szCs w:val="20"/>
    </w:rPr>
  </w:style>
  <w:style w:type="character" w:customStyle="1" w:styleId="FootnoteTextChar">
    <w:name w:val="Footnote Text Char"/>
    <w:basedOn w:val="DefaultParagraphFont"/>
    <w:link w:val="FootnoteText"/>
    <w:uiPriority w:val="99"/>
    <w:semiHidden/>
    <w:rsid w:val="00A52153"/>
    <w:rPr>
      <w:rFonts w:ascii="Times New Roman" w:hAnsi="Times New Roman"/>
      <w:sz w:val="20"/>
      <w:szCs w:val="20"/>
    </w:rPr>
  </w:style>
  <w:style w:type="paragraph" w:styleId="ListParagraph">
    <w:name w:val="List Paragraph"/>
    <w:basedOn w:val="Normal"/>
    <w:uiPriority w:val="34"/>
    <w:qFormat/>
    <w:rsid w:val="00F03C62"/>
    <w:pPr>
      <w:ind w:left="720"/>
      <w:contextualSpacing/>
    </w:pPr>
  </w:style>
  <w:style w:type="paragraph" w:styleId="TOC1">
    <w:name w:val="toc 1"/>
    <w:basedOn w:val="Normal"/>
    <w:next w:val="Normal"/>
    <w:autoRedefine/>
    <w:uiPriority w:val="39"/>
    <w:unhideWhenUsed/>
    <w:rsid w:val="005C0B39"/>
    <w:pPr>
      <w:tabs>
        <w:tab w:val="right" w:leader="dot" w:pos="9360"/>
      </w:tabs>
      <w:spacing w:after="120"/>
      <w:ind w:left="720" w:hanging="720"/>
    </w:pPr>
  </w:style>
  <w:style w:type="paragraph" w:styleId="TOC2">
    <w:name w:val="toc 2"/>
    <w:basedOn w:val="Normal"/>
    <w:next w:val="Normal"/>
    <w:autoRedefine/>
    <w:uiPriority w:val="39"/>
    <w:unhideWhenUsed/>
    <w:rsid w:val="005C0B39"/>
    <w:pPr>
      <w:tabs>
        <w:tab w:val="right" w:leader="dot" w:pos="9360"/>
      </w:tabs>
      <w:spacing w:after="120"/>
      <w:ind w:left="960" w:hanging="720"/>
    </w:pPr>
  </w:style>
  <w:style w:type="paragraph" w:styleId="TOC3">
    <w:name w:val="toc 3"/>
    <w:basedOn w:val="Normal"/>
    <w:next w:val="Normal"/>
    <w:autoRedefine/>
    <w:uiPriority w:val="39"/>
    <w:unhideWhenUsed/>
    <w:rsid w:val="005C0B39"/>
    <w:pPr>
      <w:tabs>
        <w:tab w:val="right" w:leader="dot" w:pos="9360"/>
      </w:tabs>
      <w:spacing w:after="120"/>
      <w:ind w:left="1440" w:hanging="720"/>
    </w:pPr>
  </w:style>
  <w:style w:type="paragraph" w:styleId="TOC4">
    <w:name w:val="toc 4"/>
    <w:basedOn w:val="Normal"/>
    <w:next w:val="Normal"/>
    <w:autoRedefine/>
    <w:uiPriority w:val="39"/>
    <w:semiHidden/>
    <w:unhideWhenUsed/>
    <w:rsid w:val="005C0B39"/>
    <w:pPr>
      <w:spacing w:after="100"/>
      <w:ind w:left="720"/>
    </w:pPr>
  </w:style>
  <w:style w:type="paragraph" w:styleId="TOC5">
    <w:name w:val="toc 5"/>
    <w:basedOn w:val="Normal"/>
    <w:next w:val="Normal"/>
    <w:autoRedefine/>
    <w:uiPriority w:val="39"/>
    <w:semiHidden/>
    <w:unhideWhenUsed/>
    <w:rsid w:val="005C0B39"/>
    <w:pPr>
      <w:spacing w:after="100"/>
      <w:ind w:left="960"/>
    </w:pPr>
  </w:style>
  <w:style w:type="paragraph" w:styleId="TOC6">
    <w:name w:val="toc 6"/>
    <w:basedOn w:val="Normal"/>
    <w:next w:val="Normal"/>
    <w:autoRedefine/>
    <w:uiPriority w:val="39"/>
    <w:semiHidden/>
    <w:unhideWhenUsed/>
    <w:rsid w:val="005C0B39"/>
    <w:pPr>
      <w:spacing w:after="100"/>
      <w:ind w:left="1200"/>
    </w:pPr>
  </w:style>
  <w:style w:type="paragraph" w:styleId="TOC7">
    <w:name w:val="toc 7"/>
    <w:basedOn w:val="Normal"/>
    <w:next w:val="Normal"/>
    <w:autoRedefine/>
    <w:uiPriority w:val="39"/>
    <w:semiHidden/>
    <w:unhideWhenUsed/>
    <w:rsid w:val="005C0B39"/>
    <w:pPr>
      <w:spacing w:after="100"/>
      <w:ind w:left="1440"/>
    </w:pPr>
  </w:style>
  <w:style w:type="paragraph" w:styleId="TOC8">
    <w:name w:val="toc 8"/>
    <w:basedOn w:val="Normal"/>
    <w:next w:val="Normal"/>
    <w:autoRedefine/>
    <w:uiPriority w:val="39"/>
    <w:semiHidden/>
    <w:unhideWhenUsed/>
    <w:rsid w:val="005C0B39"/>
    <w:pPr>
      <w:spacing w:after="100"/>
      <w:ind w:left="1680"/>
    </w:pPr>
  </w:style>
  <w:style w:type="paragraph" w:styleId="TOC9">
    <w:name w:val="toc 9"/>
    <w:basedOn w:val="Normal"/>
    <w:next w:val="Normal"/>
    <w:autoRedefine/>
    <w:uiPriority w:val="39"/>
    <w:semiHidden/>
    <w:unhideWhenUsed/>
    <w:rsid w:val="005C0B39"/>
    <w:pPr>
      <w:spacing w:after="100"/>
      <w:ind w:left="1920"/>
    </w:pPr>
  </w:style>
  <w:style w:type="character" w:styleId="Hyperlink">
    <w:name w:val="Hyperlink"/>
    <w:basedOn w:val="DefaultParagraphFont"/>
    <w:uiPriority w:val="99"/>
    <w:unhideWhenUsed/>
    <w:rsid w:val="005C0B39"/>
    <w:rPr>
      <w:color w:val="0000FF" w:themeColor="hyperlink"/>
      <w:u w:val="single"/>
    </w:rPr>
  </w:style>
  <w:style w:type="paragraph" w:styleId="BalloonText">
    <w:name w:val="Balloon Text"/>
    <w:basedOn w:val="Normal"/>
    <w:link w:val="BalloonTextChar"/>
    <w:uiPriority w:val="99"/>
    <w:semiHidden/>
    <w:unhideWhenUsed/>
    <w:rsid w:val="00752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BAD"/>
    <w:rPr>
      <w:rFonts w:ascii="Segoe UI" w:hAnsi="Segoe UI" w:cs="Segoe UI"/>
      <w:sz w:val="18"/>
      <w:szCs w:val="18"/>
    </w:rPr>
  </w:style>
  <w:style w:type="character" w:customStyle="1" w:styleId="highlight">
    <w:name w:val="highlight"/>
    <w:basedOn w:val="DefaultParagraphFont"/>
    <w:rsid w:val="002D0C3E"/>
  </w:style>
  <w:style w:type="character" w:styleId="CommentReference">
    <w:name w:val="annotation reference"/>
    <w:basedOn w:val="DefaultParagraphFont"/>
    <w:uiPriority w:val="99"/>
    <w:semiHidden/>
    <w:unhideWhenUsed/>
    <w:rsid w:val="00022B56"/>
    <w:rPr>
      <w:sz w:val="16"/>
      <w:szCs w:val="16"/>
    </w:rPr>
  </w:style>
  <w:style w:type="paragraph" w:styleId="CommentText">
    <w:name w:val="annotation text"/>
    <w:basedOn w:val="Normal"/>
    <w:link w:val="CommentTextChar"/>
    <w:uiPriority w:val="99"/>
    <w:semiHidden/>
    <w:unhideWhenUsed/>
    <w:rsid w:val="00022B56"/>
    <w:rPr>
      <w:sz w:val="20"/>
      <w:szCs w:val="20"/>
    </w:rPr>
  </w:style>
  <w:style w:type="character" w:customStyle="1" w:styleId="CommentTextChar">
    <w:name w:val="Comment Text Char"/>
    <w:basedOn w:val="DefaultParagraphFont"/>
    <w:link w:val="CommentText"/>
    <w:uiPriority w:val="99"/>
    <w:semiHidden/>
    <w:rsid w:val="00022B5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22B56"/>
    <w:rPr>
      <w:b/>
      <w:bCs/>
    </w:rPr>
  </w:style>
  <w:style w:type="character" w:customStyle="1" w:styleId="CommentSubjectChar">
    <w:name w:val="Comment Subject Char"/>
    <w:basedOn w:val="CommentTextChar"/>
    <w:link w:val="CommentSubject"/>
    <w:uiPriority w:val="99"/>
    <w:semiHidden/>
    <w:rsid w:val="00022B56"/>
    <w:rPr>
      <w:rFonts w:ascii="Times New Roman" w:hAnsi="Times New Roman"/>
      <w:b/>
      <w:bCs/>
      <w:sz w:val="20"/>
      <w:szCs w:val="20"/>
    </w:rPr>
  </w:style>
  <w:style w:type="paragraph" w:styleId="EndnoteText">
    <w:name w:val="endnote text"/>
    <w:basedOn w:val="Normal"/>
    <w:link w:val="EndnoteTextChar"/>
    <w:uiPriority w:val="99"/>
    <w:semiHidden/>
    <w:unhideWhenUsed/>
    <w:rsid w:val="00F0657B"/>
    <w:rPr>
      <w:sz w:val="20"/>
      <w:szCs w:val="20"/>
    </w:rPr>
  </w:style>
  <w:style w:type="character" w:customStyle="1" w:styleId="EndnoteTextChar">
    <w:name w:val="Endnote Text Char"/>
    <w:basedOn w:val="DefaultParagraphFont"/>
    <w:link w:val="EndnoteText"/>
    <w:uiPriority w:val="99"/>
    <w:semiHidden/>
    <w:rsid w:val="00F0657B"/>
    <w:rPr>
      <w:rFonts w:ascii="Times New Roman" w:hAnsi="Times New Roman"/>
      <w:sz w:val="20"/>
      <w:szCs w:val="20"/>
    </w:rPr>
  </w:style>
  <w:style w:type="character" w:styleId="EndnoteReference">
    <w:name w:val="endnote reference"/>
    <w:basedOn w:val="DefaultParagraphFont"/>
    <w:uiPriority w:val="99"/>
    <w:semiHidden/>
    <w:unhideWhenUsed/>
    <w:rsid w:val="00F0657B"/>
    <w:rPr>
      <w:vertAlign w:val="superscript"/>
    </w:rPr>
  </w:style>
  <w:style w:type="character" w:customStyle="1" w:styleId="Mention1">
    <w:name w:val="Mention1"/>
    <w:basedOn w:val="DefaultParagraphFont"/>
    <w:uiPriority w:val="99"/>
    <w:semiHidden/>
    <w:unhideWhenUsed/>
    <w:rsid w:val="00F0657B"/>
    <w:rPr>
      <w:color w:val="2B579A"/>
      <w:shd w:val="clear" w:color="auto" w:fill="E6E6E6"/>
    </w:rPr>
  </w:style>
  <w:style w:type="character" w:customStyle="1" w:styleId="Mention2">
    <w:name w:val="Mention2"/>
    <w:basedOn w:val="DefaultParagraphFont"/>
    <w:uiPriority w:val="99"/>
    <w:semiHidden/>
    <w:unhideWhenUsed/>
    <w:rsid w:val="00D15FC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82689">
      <w:bodyDiv w:val="1"/>
      <w:marLeft w:val="0"/>
      <w:marRight w:val="0"/>
      <w:marTop w:val="0"/>
      <w:marBottom w:val="0"/>
      <w:divBdr>
        <w:top w:val="none" w:sz="0" w:space="0" w:color="auto"/>
        <w:left w:val="none" w:sz="0" w:space="0" w:color="auto"/>
        <w:bottom w:val="none" w:sz="0" w:space="0" w:color="auto"/>
        <w:right w:val="none" w:sz="0" w:space="0" w:color="auto"/>
      </w:divBdr>
      <w:divsChild>
        <w:div w:id="1262298692">
          <w:marLeft w:val="0"/>
          <w:marRight w:val="0"/>
          <w:marTop w:val="0"/>
          <w:marBottom w:val="0"/>
          <w:divBdr>
            <w:top w:val="none" w:sz="0" w:space="0" w:color="auto"/>
            <w:left w:val="none" w:sz="0" w:space="0" w:color="auto"/>
            <w:bottom w:val="none" w:sz="0" w:space="0" w:color="auto"/>
            <w:right w:val="none" w:sz="0" w:space="0" w:color="auto"/>
          </w:divBdr>
        </w:div>
        <w:div w:id="458761709">
          <w:marLeft w:val="0"/>
          <w:marRight w:val="0"/>
          <w:marTop w:val="0"/>
          <w:marBottom w:val="0"/>
          <w:divBdr>
            <w:top w:val="none" w:sz="0" w:space="0" w:color="auto"/>
            <w:left w:val="none" w:sz="0" w:space="0" w:color="auto"/>
            <w:bottom w:val="none" w:sz="0" w:space="0" w:color="auto"/>
            <w:right w:val="none" w:sz="0" w:space="0" w:color="auto"/>
          </w:divBdr>
        </w:div>
        <w:div w:id="172501613">
          <w:marLeft w:val="0"/>
          <w:marRight w:val="0"/>
          <w:marTop w:val="0"/>
          <w:marBottom w:val="0"/>
          <w:divBdr>
            <w:top w:val="none" w:sz="0" w:space="0" w:color="auto"/>
            <w:left w:val="none" w:sz="0" w:space="0" w:color="auto"/>
            <w:bottom w:val="none" w:sz="0" w:space="0" w:color="auto"/>
            <w:right w:val="none" w:sz="0" w:space="0" w:color="auto"/>
          </w:divBdr>
        </w:div>
        <w:div w:id="510798962">
          <w:marLeft w:val="0"/>
          <w:marRight w:val="0"/>
          <w:marTop w:val="0"/>
          <w:marBottom w:val="0"/>
          <w:divBdr>
            <w:top w:val="none" w:sz="0" w:space="0" w:color="auto"/>
            <w:left w:val="none" w:sz="0" w:space="0" w:color="auto"/>
            <w:bottom w:val="none" w:sz="0" w:space="0" w:color="auto"/>
            <w:right w:val="none" w:sz="0" w:space="0" w:color="auto"/>
          </w:divBdr>
        </w:div>
        <w:div w:id="888682912">
          <w:marLeft w:val="0"/>
          <w:marRight w:val="0"/>
          <w:marTop w:val="0"/>
          <w:marBottom w:val="0"/>
          <w:divBdr>
            <w:top w:val="none" w:sz="0" w:space="0" w:color="auto"/>
            <w:left w:val="none" w:sz="0" w:space="0" w:color="auto"/>
            <w:bottom w:val="none" w:sz="0" w:space="0" w:color="auto"/>
            <w:right w:val="none" w:sz="0" w:space="0" w:color="auto"/>
          </w:divBdr>
        </w:div>
        <w:div w:id="1166940391">
          <w:marLeft w:val="0"/>
          <w:marRight w:val="0"/>
          <w:marTop w:val="0"/>
          <w:marBottom w:val="0"/>
          <w:divBdr>
            <w:top w:val="none" w:sz="0" w:space="0" w:color="auto"/>
            <w:left w:val="none" w:sz="0" w:space="0" w:color="auto"/>
            <w:bottom w:val="none" w:sz="0" w:space="0" w:color="auto"/>
            <w:right w:val="none" w:sz="0" w:space="0" w:color="auto"/>
          </w:divBdr>
        </w:div>
        <w:div w:id="1920169862">
          <w:marLeft w:val="0"/>
          <w:marRight w:val="0"/>
          <w:marTop w:val="0"/>
          <w:marBottom w:val="0"/>
          <w:divBdr>
            <w:top w:val="none" w:sz="0" w:space="0" w:color="auto"/>
            <w:left w:val="none" w:sz="0" w:space="0" w:color="auto"/>
            <w:bottom w:val="none" w:sz="0" w:space="0" w:color="auto"/>
            <w:right w:val="none" w:sz="0" w:space="0" w:color="auto"/>
          </w:divBdr>
        </w:div>
        <w:div w:id="1790539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cfsapi.fcc.gov/file/1072111667250/170717%20CTL%20Coms-Refiled%20072117%20WC%2017-108%20FINAL.pdf" TargetMode="External"/><Relationship Id="rId3" Type="http://schemas.openxmlformats.org/officeDocument/2006/relationships/hyperlink" Target="https://ecfsapi.fcc.gov/file/107172199528427/WC%20Docket%20No.%2017-108%20CPUC%20Comments%20on%20Restoring%20Internet%20Freedom.pdf" TargetMode="External"/><Relationship Id="rId7" Type="http://schemas.openxmlformats.org/officeDocument/2006/relationships/hyperlink" Target="http://www.centurylinksecurity.biz/" TargetMode="External"/><Relationship Id="rId2" Type="http://schemas.openxmlformats.org/officeDocument/2006/relationships/hyperlink" Target="https://ecfsapi.fcc.gov/file/10717259472168/INCOMPAS--RIF%20Comments%20WC%20Docket%20No.%2017-108%20(July%2017%2C%202017).pdf" TargetMode="External"/><Relationship Id="rId1" Type="http://schemas.openxmlformats.org/officeDocument/2006/relationships/hyperlink" Target="https://www.fcc.gov/ecfs/filing/10717214980472" TargetMode="External"/><Relationship Id="rId6" Type="http://schemas.openxmlformats.org/officeDocument/2006/relationships/hyperlink" Target="https://ecfsapi.fcc.gov/file/10717106187524/AARP_Net_Neutrality_Comments_GN_17-108_7-17-17.pdf" TargetMode="External"/><Relationship Id="rId5" Type="http://schemas.openxmlformats.org/officeDocument/2006/relationships/hyperlink" Target="https://ecfsapi.fcc.gov/file/10717106187524/AARP_Net_Neutrality_Comments_GN_17-108_7-17-17.pdf" TargetMode="External"/><Relationship Id="rId4" Type="http://schemas.openxmlformats.org/officeDocument/2006/relationships/hyperlink" Target="https://ecfsapi.fcc.gov/file/10717861707847/Nokia%20Comments%20Internet%20Freedom%20FINAL%20July%202017%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CE1AA-7AEA-45AC-9B76-9A70881C1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1328</Words>
  <Characters>7572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2017-08-30T13:20:00Z</dcterms:created>
  <dcterms:modified xsi:type="dcterms:W3CDTF">2017-08-30T13:20:00Z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71397909v.1</vt:lpwstr>
  </property>
</Properties>
</file>