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D86" w:rsidRDefault="004C5D86" w:rsidP="004C5D86">
      <w:pPr>
        <w:jc w:val="center"/>
      </w:pPr>
      <w:r>
        <w:t>Before the</w:t>
      </w:r>
    </w:p>
    <w:p w:rsidR="004C5D86" w:rsidRDefault="004C5D86" w:rsidP="004C5D86">
      <w:pPr>
        <w:jc w:val="center"/>
      </w:pPr>
      <w:r>
        <w:t>Federal Communications Commission</w:t>
      </w:r>
    </w:p>
    <w:p w:rsidR="004C5D86" w:rsidRDefault="004C5D86" w:rsidP="004C5D86">
      <w:pPr>
        <w:jc w:val="center"/>
      </w:pPr>
      <w:r>
        <w:t>Washington, D.C. 20554</w:t>
      </w:r>
    </w:p>
    <w:p w:rsidR="004C5D86" w:rsidRDefault="004C5D86" w:rsidP="004C5D86">
      <w:pPr>
        <w:jc w:val="center"/>
      </w:pPr>
    </w:p>
    <w:p w:rsidR="004C5D86" w:rsidRDefault="004C5D86" w:rsidP="004C5D86">
      <w:r w:rsidRPr="004C5D86">
        <w:t xml:space="preserve">In the Matter of </w:t>
      </w:r>
      <w:r w:rsidR="00C00429">
        <w:t>Restoring Internet Freedom (sic)</w:t>
      </w:r>
      <w:r w:rsidRPr="004C5D86">
        <w:t xml:space="preserve">  </w:t>
      </w:r>
      <w:r>
        <w:t xml:space="preserve">   </w:t>
      </w:r>
    </w:p>
    <w:p w:rsidR="004C5D86" w:rsidRDefault="00972820" w:rsidP="004C5D86">
      <w:pPr>
        <w:jc w:val="right"/>
      </w:pPr>
      <w:r>
        <w:t>WC</w:t>
      </w:r>
      <w:r w:rsidR="004C5D86">
        <w:t xml:space="preserve"> Docket No. 1</w:t>
      </w:r>
      <w:r w:rsidR="00C00429">
        <w:t>7-10</w:t>
      </w:r>
      <w:r w:rsidR="004C5D86">
        <w:t>8</w:t>
      </w:r>
    </w:p>
    <w:p w:rsidR="00735E10" w:rsidRDefault="00972820" w:rsidP="004C5D86">
      <w:pPr>
        <w:jc w:val="right"/>
      </w:pPr>
      <w:r>
        <w:t>August 30, 2017</w:t>
      </w:r>
    </w:p>
    <w:p w:rsidR="004C5D86" w:rsidRDefault="004C5D86" w:rsidP="004C5D86">
      <w:pPr>
        <w:jc w:val="center"/>
      </w:pPr>
    </w:p>
    <w:p w:rsidR="004C5D86" w:rsidRDefault="004C5D86" w:rsidP="004C5D86">
      <w:pPr>
        <w:jc w:val="center"/>
      </w:pPr>
    </w:p>
    <w:p w:rsidR="00E1143F" w:rsidRPr="000A7C3B" w:rsidRDefault="00A84EB7" w:rsidP="004C5D86">
      <w:pPr>
        <w:jc w:val="center"/>
        <w:rPr>
          <w:b/>
          <w:sz w:val="32"/>
          <w:szCs w:val="32"/>
        </w:rPr>
      </w:pPr>
      <w:r>
        <w:rPr>
          <w:b/>
          <w:sz w:val="32"/>
          <w:szCs w:val="32"/>
        </w:rPr>
        <w:t xml:space="preserve">Reply </w:t>
      </w:r>
      <w:r w:rsidR="004C5D86" w:rsidRPr="000A7C3B">
        <w:rPr>
          <w:b/>
          <w:sz w:val="32"/>
          <w:szCs w:val="32"/>
        </w:rPr>
        <w:t>Comments of NetAccess Futures</w:t>
      </w:r>
    </w:p>
    <w:p w:rsidR="006E7B65" w:rsidRDefault="006E7B65" w:rsidP="00754902">
      <w:r>
        <w:t>NetAccess Futures, through its Principal</w:t>
      </w:r>
      <w:r w:rsidR="00FC64BE">
        <w:t>,</w:t>
      </w:r>
      <w:r>
        <w:t xml:space="preserve"> Daniel B. Grossman, hereby submits these comments in</w:t>
      </w:r>
      <w:r w:rsidR="00A84EB7">
        <w:t xml:space="preserve"> reply to two</w:t>
      </w:r>
      <w:r>
        <w:t xml:space="preserve"> response</w:t>
      </w:r>
      <w:r w:rsidR="00A84EB7">
        <w:t>s</w:t>
      </w:r>
      <w:r>
        <w:t xml:space="preserve"> to the </w:t>
      </w:r>
      <w:r w:rsidR="00622A8D">
        <w:t>NPRM adopted</w:t>
      </w:r>
      <w:r>
        <w:t xml:space="preserve"> </w:t>
      </w:r>
      <w:r w:rsidR="00A84EB7">
        <w:t>May 18, 2017</w:t>
      </w:r>
      <w:r w:rsidR="00622A8D">
        <w:t>, in the above captioned matter.</w:t>
      </w:r>
      <w:r>
        <w:t xml:space="preserve"> </w:t>
      </w:r>
    </w:p>
    <w:p w:rsidR="00F33565" w:rsidRPr="00F33565" w:rsidRDefault="00F33565" w:rsidP="00754902">
      <w:pPr>
        <w:rPr>
          <w:b/>
        </w:rPr>
      </w:pPr>
      <w:r>
        <w:rPr>
          <w:b/>
        </w:rPr>
        <w:t>Contents</w:t>
      </w:r>
      <w:bookmarkStart w:id="0" w:name="_GoBack"/>
      <w:bookmarkEnd w:id="0"/>
    </w:p>
    <w:p w:rsidR="009E54FD" w:rsidRDefault="009E54FD">
      <w:pPr>
        <w:pStyle w:val="TOC1"/>
        <w:tabs>
          <w:tab w:val="left" w:pos="440"/>
          <w:tab w:val="right" w:leader="dot" w:pos="9350"/>
        </w:tabs>
        <w:rPr>
          <w:noProof/>
        </w:rPr>
      </w:pPr>
      <w:r>
        <w:fldChar w:fldCharType="begin"/>
      </w:r>
      <w:r>
        <w:instrText xml:space="preserve"> TOC \o "1-2" \u </w:instrText>
      </w:r>
      <w:r>
        <w:fldChar w:fldCharType="separate"/>
      </w:r>
      <w:r>
        <w:rPr>
          <w:noProof/>
        </w:rPr>
        <w:t>I.</w:t>
      </w:r>
      <w:r>
        <w:rPr>
          <w:noProof/>
        </w:rPr>
        <w:tab/>
        <w:t>Introduction and Observations</w:t>
      </w:r>
      <w:r>
        <w:rPr>
          <w:noProof/>
        </w:rPr>
        <w:tab/>
      </w:r>
      <w:r>
        <w:rPr>
          <w:noProof/>
        </w:rPr>
        <w:fldChar w:fldCharType="begin"/>
      </w:r>
      <w:r>
        <w:rPr>
          <w:noProof/>
        </w:rPr>
        <w:instrText xml:space="preserve"> PAGEREF _Toc491855579 \h </w:instrText>
      </w:r>
      <w:r>
        <w:rPr>
          <w:noProof/>
        </w:rPr>
      </w:r>
      <w:r>
        <w:rPr>
          <w:noProof/>
        </w:rPr>
        <w:fldChar w:fldCharType="separate"/>
      </w:r>
      <w:r>
        <w:rPr>
          <w:noProof/>
        </w:rPr>
        <w:t>2</w:t>
      </w:r>
      <w:r>
        <w:rPr>
          <w:noProof/>
        </w:rPr>
        <w:fldChar w:fldCharType="end"/>
      </w:r>
    </w:p>
    <w:p w:rsidR="009E54FD" w:rsidRDefault="009E54FD">
      <w:pPr>
        <w:pStyle w:val="TOC2"/>
        <w:tabs>
          <w:tab w:val="left" w:pos="660"/>
          <w:tab w:val="right" w:leader="dot" w:pos="9350"/>
        </w:tabs>
        <w:rPr>
          <w:noProof/>
        </w:rPr>
      </w:pPr>
      <w:r>
        <w:rPr>
          <w:noProof/>
        </w:rPr>
        <w:t>A.</w:t>
      </w:r>
      <w:r>
        <w:rPr>
          <w:noProof/>
        </w:rPr>
        <w:tab/>
        <w:t>About these reply comments</w:t>
      </w:r>
      <w:r>
        <w:rPr>
          <w:noProof/>
        </w:rPr>
        <w:tab/>
      </w:r>
      <w:r>
        <w:rPr>
          <w:noProof/>
        </w:rPr>
        <w:fldChar w:fldCharType="begin"/>
      </w:r>
      <w:r>
        <w:rPr>
          <w:noProof/>
        </w:rPr>
        <w:instrText xml:space="preserve"> PAGEREF _Toc491855580 \h </w:instrText>
      </w:r>
      <w:r>
        <w:rPr>
          <w:noProof/>
        </w:rPr>
      </w:r>
      <w:r>
        <w:rPr>
          <w:noProof/>
        </w:rPr>
        <w:fldChar w:fldCharType="separate"/>
      </w:r>
      <w:r>
        <w:rPr>
          <w:noProof/>
        </w:rPr>
        <w:t>2</w:t>
      </w:r>
      <w:r>
        <w:rPr>
          <w:noProof/>
        </w:rPr>
        <w:fldChar w:fldCharType="end"/>
      </w:r>
    </w:p>
    <w:p w:rsidR="009E54FD" w:rsidRDefault="009E54FD">
      <w:pPr>
        <w:pStyle w:val="TOC2"/>
        <w:tabs>
          <w:tab w:val="left" w:pos="660"/>
          <w:tab w:val="right" w:leader="dot" w:pos="9350"/>
        </w:tabs>
        <w:rPr>
          <w:noProof/>
        </w:rPr>
      </w:pPr>
      <w:r>
        <w:rPr>
          <w:noProof/>
        </w:rPr>
        <w:t>B.</w:t>
      </w:r>
      <w:r>
        <w:rPr>
          <w:noProof/>
        </w:rPr>
        <w:tab/>
        <w:t>Background</w:t>
      </w:r>
      <w:r>
        <w:rPr>
          <w:noProof/>
        </w:rPr>
        <w:tab/>
      </w:r>
      <w:r>
        <w:rPr>
          <w:noProof/>
        </w:rPr>
        <w:fldChar w:fldCharType="begin"/>
      </w:r>
      <w:r>
        <w:rPr>
          <w:noProof/>
        </w:rPr>
        <w:instrText xml:space="preserve"> PAGEREF _Toc491855581 \h </w:instrText>
      </w:r>
      <w:r>
        <w:rPr>
          <w:noProof/>
        </w:rPr>
      </w:r>
      <w:r>
        <w:rPr>
          <w:noProof/>
        </w:rPr>
        <w:fldChar w:fldCharType="separate"/>
      </w:r>
      <w:r>
        <w:rPr>
          <w:noProof/>
        </w:rPr>
        <w:t>2</w:t>
      </w:r>
      <w:r>
        <w:rPr>
          <w:noProof/>
        </w:rPr>
        <w:fldChar w:fldCharType="end"/>
      </w:r>
    </w:p>
    <w:p w:rsidR="009E54FD" w:rsidRDefault="009E54FD">
      <w:pPr>
        <w:pStyle w:val="TOC2"/>
        <w:tabs>
          <w:tab w:val="left" w:pos="660"/>
          <w:tab w:val="right" w:leader="dot" w:pos="9350"/>
        </w:tabs>
        <w:rPr>
          <w:noProof/>
        </w:rPr>
      </w:pPr>
      <w:r>
        <w:rPr>
          <w:noProof/>
        </w:rPr>
        <w:t>C.</w:t>
      </w:r>
      <w:r>
        <w:rPr>
          <w:noProof/>
        </w:rPr>
        <w:tab/>
        <w:t>This proceeding brings disgrace upon the Commission</w:t>
      </w:r>
      <w:r>
        <w:rPr>
          <w:noProof/>
        </w:rPr>
        <w:tab/>
      </w:r>
      <w:r>
        <w:rPr>
          <w:noProof/>
        </w:rPr>
        <w:fldChar w:fldCharType="begin"/>
      </w:r>
      <w:r>
        <w:rPr>
          <w:noProof/>
        </w:rPr>
        <w:instrText xml:space="preserve"> PAGEREF _Toc491855582 \h </w:instrText>
      </w:r>
      <w:r>
        <w:rPr>
          <w:noProof/>
        </w:rPr>
      </w:r>
      <w:r>
        <w:rPr>
          <w:noProof/>
        </w:rPr>
        <w:fldChar w:fldCharType="separate"/>
      </w:r>
      <w:r>
        <w:rPr>
          <w:noProof/>
        </w:rPr>
        <w:t>3</w:t>
      </w:r>
      <w:r>
        <w:rPr>
          <w:noProof/>
        </w:rPr>
        <w:fldChar w:fldCharType="end"/>
      </w:r>
    </w:p>
    <w:p w:rsidR="009E54FD" w:rsidRDefault="009E54FD">
      <w:pPr>
        <w:pStyle w:val="TOC2"/>
        <w:tabs>
          <w:tab w:val="left" w:pos="660"/>
          <w:tab w:val="right" w:leader="dot" w:pos="9350"/>
        </w:tabs>
        <w:rPr>
          <w:noProof/>
        </w:rPr>
      </w:pPr>
      <w:r>
        <w:rPr>
          <w:noProof/>
        </w:rPr>
        <w:t>D.</w:t>
      </w:r>
      <w:r>
        <w:rPr>
          <w:noProof/>
        </w:rPr>
        <w:tab/>
        <w:t>The NPRM is unworthy of an independent Federal agency</w:t>
      </w:r>
      <w:r>
        <w:rPr>
          <w:noProof/>
        </w:rPr>
        <w:tab/>
      </w:r>
      <w:r>
        <w:rPr>
          <w:noProof/>
        </w:rPr>
        <w:fldChar w:fldCharType="begin"/>
      </w:r>
      <w:r>
        <w:rPr>
          <w:noProof/>
        </w:rPr>
        <w:instrText xml:space="preserve"> PAGEREF _Toc491855583 \h </w:instrText>
      </w:r>
      <w:r>
        <w:rPr>
          <w:noProof/>
        </w:rPr>
      </w:r>
      <w:r>
        <w:rPr>
          <w:noProof/>
        </w:rPr>
        <w:fldChar w:fldCharType="separate"/>
      </w:r>
      <w:r>
        <w:rPr>
          <w:noProof/>
        </w:rPr>
        <w:t>3</w:t>
      </w:r>
      <w:r>
        <w:rPr>
          <w:noProof/>
        </w:rPr>
        <w:fldChar w:fldCharType="end"/>
      </w:r>
    </w:p>
    <w:p w:rsidR="009E54FD" w:rsidRDefault="009E54FD">
      <w:pPr>
        <w:pStyle w:val="TOC2"/>
        <w:tabs>
          <w:tab w:val="left" w:pos="660"/>
          <w:tab w:val="right" w:leader="dot" w:pos="9350"/>
        </w:tabs>
        <w:rPr>
          <w:noProof/>
        </w:rPr>
      </w:pPr>
      <w:r>
        <w:rPr>
          <w:noProof/>
        </w:rPr>
        <w:t>E.</w:t>
      </w:r>
      <w:r>
        <w:rPr>
          <w:noProof/>
        </w:rPr>
        <w:tab/>
        <w:t>The NPRM is based upon false premises</w:t>
      </w:r>
      <w:r>
        <w:rPr>
          <w:noProof/>
        </w:rPr>
        <w:tab/>
      </w:r>
      <w:r>
        <w:rPr>
          <w:noProof/>
        </w:rPr>
        <w:fldChar w:fldCharType="begin"/>
      </w:r>
      <w:r>
        <w:rPr>
          <w:noProof/>
        </w:rPr>
        <w:instrText xml:space="preserve"> PAGEREF _Toc491855584 \h </w:instrText>
      </w:r>
      <w:r>
        <w:rPr>
          <w:noProof/>
        </w:rPr>
      </w:r>
      <w:r>
        <w:rPr>
          <w:noProof/>
        </w:rPr>
        <w:fldChar w:fldCharType="separate"/>
      </w:r>
      <w:r>
        <w:rPr>
          <w:noProof/>
        </w:rPr>
        <w:t>4</w:t>
      </w:r>
      <w:r>
        <w:rPr>
          <w:noProof/>
        </w:rPr>
        <w:fldChar w:fldCharType="end"/>
      </w:r>
    </w:p>
    <w:p w:rsidR="009E54FD" w:rsidRDefault="009E54FD">
      <w:pPr>
        <w:pStyle w:val="TOC1"/>
        <w:tabs>
          <w:tab w:val="left" w:pos="440"/>
          <w:tab w:val="right" w:leader="dot" w:pos="9350"/>
        </w:tabs>
        <w:rPr>
          <w:noProof/>
        </w:rPr>
      </w:pPr>
      <w:r>
        <w:rPr>
          <w:noProof/>
        </w:rPr>
        <w:t>II.</w:t>
      </w:r>
      <w:r>
        <w:rPr>
          <w:noProof/>
        </w:rPr>
        <w:tab/>
        <w:t>Outline of Our Position</w:t>
      </w:r>
      <w:r>
        <w:rPr>
          <w:noProof/>
        </w:rPr>
        <w:tab/>
      </w:r>
      <w:r>
        <w:rPr>
          <w:noProof/>
        </w:rPr>
        <w:fldChar w:fldCharType="begin"/>
      </w:r>
      <w:r>
        <w:rPr>
          <w:noProof/>
        </w:rPr>
        <w:instrText xml:space="preserve"> PAGEREF _Toc491855585 \h </w:instrText>
      </w:r>
      <w:r>
        <w:rPr>
          <w:noProof/>
        </w:rPr>
      </w:r>
      <w:r>
        <w:rPr>
          <w:noProof/>
        </w:rPr>
        <w:fldChar w:fldCharType="separate"/>
      </w:r>
      <w:r>
        <w:rPr>
          <w:noProof/>
        </w:rPr>
        <w:t>6</w:t>
      </w:r>
      <w:r>
        <w:rPr>
          <w:noProof/>
        </w:rPr>
        <w:fldChar w:fldCharType="end"/>
      </w:r>
    </w:p>
    <w:p w:rsidR="009E54FD" w:rsidRDefault="009E54FD">
      <w:pPr>
        <w:pStyle w:val="TOC1"/>
        <w:tabs>
          <w:tab w:val="right" w:leader="dot" w:pos="9350"/>
        </w:tabs>
        <w:rPr>
          <w:noProof/>
        </w:rPr>
      </w:pPr>
      <w:r>
        <w:rPr>
          <w:noProof/>
        </w:rPr>
        <w:t>The Internet’s architecture Inherently provides Technical ability – But not necessarily incentives - to violate openness</w:t>
      </w:r>
      <w:r>
        <w:rPr>
          <w:noProof/>
        </w:rPr>
        <w:tab/>
      </w:r>
      <w:r>
        <w:rPr>
          <w:noProof/>
        </w:rPr>
        <w:fldChar w:fldCharType="begin"/>
      </w:r>
      <w:r>
        <w:rPr>
          <w:noProof/>
        </w:rPr>
        <w:instrText xml:space="preserve"> PAGEREF _Toc491855586 \h </w:instrText>
      </w:r>
      <w:r>
        <w:rPr>
          <w:noProof/>
        </w:rPr>
      </w:r>
      <w:r>
        <w:rPr>
          <w:noProof/>
        </w:rPr>
        <w:fldChar w:fldCharType="separate"/>
      </w:r>
      <w:r>
        <w:rPr>
          <w:noProof/>
        </w:rPr>
        <w:t>8</w:t>
      </w:r>
      <w:r>
        <w:rPr>
          <w:noProof/>
        </w:rPr>
        <w:fldChar w:fldCharType="end"/>
      </w:r>
    </w:p>
    <w:p w:rsidR="009E54FD" w:rsidRDefault="009E54FD">
      <w:pPr>
        <w:pStyle w:val="TOC2"/>
        <w:tabs>
          <w:tab w:val="left" w:pos="660"/>
          <w:tab w:val="right" w:leader="dot" w:pos="9350"/>
        </w:tabs>
        <w:rPr>
          <w:noProof/>
        </w:rPr>
      </w:pPr>
      <w:r>
        <w:rPr>
          <w:noProof/>
        </w:rPr>
        <w:t>A.</w:t>
      </w:r>
      <w:r>
        <w:rPr>
          <w:noProof/>
        </w:rPr>
        <w:tab/>
        <w:t>Packet Forwarding</w:t>
      </w:r>
      <w:r>
        <w:rPr>
          <w:noProof/>
        </w:rPr>
        <w:tab/>
      </w:r>
      <w:r>
        <w:rPr>
          <w:noProof/>
        </w:rPr>
        <w:fldChar w:fldCharType="begin"/>
      </w:r>
      <w:r>
        <w:rPr>
          <w:noProof/>
        </w:rPr>
        <w:instrText xml:space="preserve"> PAGEREF _Toc491855587 \h </w:instrText>
      </w:r>
      <w:r>
        <w:rPr>
          <w:noProof/>
        </w:rPr>
      </w:r>
      <w:r>
        <w:rPr>
          <w:noProof/>
        </w:rPr>
        <w:fldChar w:fldCharType="separate"/>
      </w:r>
      <w:r>
        <w:rPr>
          <w:noProof/>
        </w:rPr>
        <w:t>8</w:t>
      </w:r>
      <w:r>
        <w:rPr>
          <w:noProof/>
        </w:rPr>
        <w:fldChar w:fldCharType="end"/>
      </w:r>
    </w:p>
    <w:p w:rsidR="009E54FD" w:rsidRDefault="009E54FD">
      <w:pPr>
        <w:pStyle w:val="TOC2"/>
        <w:tabs>
          <w:tab w:val="left" w:pos="660"/>
          <w:tab w:val="right" w:leader="dot" w:pos="9350"/>
        </w:tabs>
        <w:rPr>
          <w:noProof/>
        </w:rPr>
      </w:pPr>
      <w:r>
        <w:rPr>
          <w:noProof/>
        </w:rPr>
        <w:t>B.</w:t>
      </w:r>
      <w:r>
        <w:rPr>
          <w:noProof/>
        </w:rPr>
        <w:tab/>
        <w:t>Bandwidth Reservation and Admission Control</w:t>
      </w:r>
      <w:r>
        <w:rPr>
          <w:noProof/>
        </w:rPr>
        <w:tab/>
      </w:r>
      <w:r>
        <w:rPr>
          <w:noProof/>
        </w:rPr>
        <w:fldChar w:fldCharType="begin"/>
      </w:r>
      <w:r>
        <w:rPr>
          <w:noProof/>
        </w:rPr>
        <w:instrText xml:space="preserve"> PAGEREF _Toc491855588 \h </w:instrText>
      </w:r>
      <w:r>
        <w:rPr>
          <w:noProof/>
        </w:rPr>
      </w:r>
      <w:r>
        <w:rPr>
          <w:noProof/>
        </w:rPr>
        <w:fldChar w:fldCharType="separate"/>
      </w:r>
      <w:r>
        <w:rPr>
          <w:noProof/>
        </w:rPr>
        <w:t>11</w:t>
      </w:r>
      <w:r>
        <w:rPr>
          <w:noProof/>
        </w:rPr>
        <w:fldChar w:fldCharType="end"/>
      </w:r>
    </w:p>
    <w:p w:rsidR="009E54FD" w:rsidRDefault="009E54FD">
      <w:pPr>
        <w:pStyle w:val="TOC2"/>
        <w:tabs>
          <w:tab w:val="left" w:pos="660"/>
          <w:tab w:val="right" w:leader="dot" w:pos="9350"/>
        </w:tabs>
        <w:rPr>
          <w:noProof/>
        </w:rPr>
      </w:pPr>
      <w:r>
        <w:rPr>
          <w:noProof/>
        </w:rPr>
        <w:lastRenderedPageBreak/>
        <w:t>C.</w:t>
      </w:r>
      <w:r>
        <w:rPr>
          <w:noProof/>
        </w:rPr>
        <w:tab/>
        <w:t>Domain Name Service</w:t>
      </w:r>
      <w:r>
        <w:rPr>
          <w:noProof/>
        </w:rPr>
        <w:tab/>
      </w:r>
      <w:r>
        <w:rPr>
          <w:noProof/>
        </w:rPr>
        <w:fldChar w:fldCharType="begin"/>
      </w:r>
      <w:r>
        <w:rPr>
          <w:noProof/>
        </w:rPr>
        <w:instrText xml:space="preserve"> PAGEREF _Toc491855589 \h </w:instrText>
      </w:r>
      <w:r>
        <w:rPr>
          <w:noProof/>
        </w:rPr>
      </w:r>
      <w:r>
        <w:rPr>
          <w:noProof/>
        </w:rPr>
        <w:fldChar w:fldCharType="separate"/>
      </w:r>
      <w:r>
        <w:rPr>
          <w:noProof/>
        </w:rPr>
        <w:t>12</w:t>
      </w:r>
      <w:r>
        <w:rPr>
          <w:noProof/>
        </w:rPr>
        <w:fldChar w:fldCharType="end"/>
      </w:r>
    </w:p>
    <w:p w:rsidR="009E54FD" w:rsidRDefault="009E54FD">
      <w:pPr>
        <w:pStyle w:val="TOC2"/>
        <w:tabs>
          <w:tab w:val="left" w:pos="660"/>
          <w:tab w:val="right" w:leader="dot" w:pos="9350"/>
        </w:tabs>
        <w:rPr>
          <w:noProof/>
        </w:rPr>
      </w:pPr>
      <w:r>
        <w:rPr>
          <w:noProof/>
        </w:rPr>
        <w:t>D.</w:t>
      </w:r>
      <w:r>
        <w:rPr>
          <w:noProof/>
        </w:rPr>
        <w:tab/>
        <w:t>Routing</w:t>
      </w:r>
      <w:r>
        <w:rPr>
          <w:noProof/>
        </w:rPr>
        <w:tab/>
      </w:r>
      <w:r>
        <w:rPr>
          <w:noProof/>
        </w:rPr>
        <w:fldChar w:fldCharType="begin"/>
      </w:r>
      <w:r>
        <w:rPr>
          <w:noProof/>
        </w:rPr>
        <w:instrText xml:space="preserve"> PAGEREF _Toc491855590 \h </w:instrText>
      </w:r>
      <w:r>
        <w:rPr>
          <w:noProof/>
        </w:rPr>
      </w:r>
      <w:r>
        <w:rPr>
          <w:noProof/>
        </w:rPr>
        <w:fldChar w:fldCharType="separate"/>
      </w:r>
      <w:r>
        <w:rPr>
          <w:noProof/>
        </w:rPr>
        <w:t>13</w:t>
      </w:r>
      <w:r>
        <w:rPr>
          <w:noProof/>
        </w:rPr>
        <w:fldChar w:fldCharType="end"/>
      </w:r>
    </w:p>
    <w:p w:rsidR="009E54FD" w:rsidRDefault="009E54FD">
      <w:pPr>
        <w:pStyle w:val="TOC2"/>
        <w:tabs>
          <w:tab w:val="left" w:pos="660"/>
          <w:tab w:val="right" w:leader="dot" w:pos="9350"/>
        </w:tabs>
        <w:rPr>
          <w:noProof/>
        </w:rPr>
      </w:pPr>
      <w:r>
        <w:rPr>
          <w:noProof/>
        </w:rPr>
        <w:t>E.</w:t>
      </w:r>
      <w:r>
        <w:rPr>
          <w:noProof/>
        </w:rPr>
        <w:tab/>
        <w:t>Recent Developments</w:t>
      </w:r>
      <w:r>
        <w:rPr>
          <w:noProof/>
        </w:rPr>
        <w:tab/>
      </w:r>
      <w:r>
        <w:rPr>
          <w:noProof/>
        </w:rPr>
        <w:fldChar w:fldCharType="begin"/>
      </w:r>
      <w:r>
        <w:rPr>
          <w:noProof/>
        </w:rPr>
        <w:instrText xml:space="preserve"> PAGEREF _Toc491855591 \h </w:instrText>
      </w:r>
      <w:r>
        <w:rPr>
          <w:noProof/>
        </w:rPr>
      </w:r>
      <w:r>
        <w:rPr>
          <w:noProof/>
        </w:rPr>
        <w:fldChar w:fldCharType="separate"/>
      </w:r>
      <w:r>
        <w:rPr>
          <w:noProof/>
        </w:rPr>
        <w:t>13</w:t>
      </w:r>
      <w:r>
        <w:rPr>
          <w:noProof/>
        </w:rPr>
        <w:fldChar w:fldCharType="end"/>
      </w:r>
    </w:p>
    <w:p w:rsidR="009E54FD" w:rsidRDefault="009E54FD">
      <w:pPr>
        <w:pStyle w:val="TOC1"/>
        <w:tabs>
          <w:tab w:val="left" w:pos="660"/>
          <w:tab w:val="right" w:leader="dot" w:pos="9350"/>
        </w:tabs>
        <w:rPr>
          <w:noProof/>
        </w:rPr>
      </w:pPr>
      <w:r>
        <w:rPr>
          <w:noProof/>
        </w:rPr>
        <w:t>III.</w:t>
      </w:r>
      <w:r>
        <w:rPr>
          <w:noProof/>
        </w:rPr>
        <w:tab/>
        <w:t>broadband investment is growing</w:t>
      </w:r>
      <w:r>
        <w:rPr>
          <w:noProof/>
        </w:rPr>
        <w:tab/>
      </w:r>
      <w:r>
        <w:rPr>
          <w:noProof/>
        </w:rPr>
        <w:fldChar w:fldCharType="begin"/>
      </w:r>
      <w:r>
        <w:rPr>
          <w:noProof/>
        </w:rPr>
        <w:instrText xml:space="preserve"> PAGEREF _Toc491855592 \h </w:instrText>
      </w:r>
      <w:r>
        <w:rPr>
          <w:noProof/>
        </w:rPr>
      </w:r>
      <w:r>
        <w:rPr>
          <w:noProof/>
        </w:rPr>
        <w:fldChar w:fldCharType="separate"/>
      </w:r>
      <w:r>
        <w:rPr>
          <w:noProof/>
        </w:rPr>
        <w:t>14</w:t>
      </w:r>
      <w:r>
        <w:rPr>
          <w:noProof/>
        </w:rPr>
        <w:fldChar w:fldCharType="end"/>
      </w:r>
    </w:p>
    <w:p w:rsidR="009E54FD" w:rsidRDefault="009E54FD">
      <w:pPr>
        <w:pStyle w:val="TOC1"/>
        <w:tabs>
          <w:tab w:val="left" w:pos="660"/>
          <w:tab w:val="right" w:leader="dot" w:pos="9350"/>
        </w:tabs>
        <w:rPr>
          <w:noProof/>
        </w:rPr>
      </w:pPr>
      <w:r>
        <w:rPr>
          <w:noProof/>
        </w:rPr>
        <w:t>IV.</w:t>
      </w:r>
      <w:r>
        <w:rPr>
          <w:noProof/>
        </w:rPr>
        <w:tab/>
        <w:t>ISPs are more like Telecommunications providers than Information providers</w:t>
      </w:r>
      <w:r>
        <w:rPr>
          <w:noProof/>
        </w:rPr>
        <w:tab/>
      </w:r>
      <w:r>
        <w:rPr>
          <w:noProof/>
        </w:rPr>
        <w:fldChar w:fldCharType="begin"/>
      </w:r>
      <w:r>
        <w:rPr>
          <w:noProof/>
        </w:rPr>
        <w:instrText xml:space="preserve"> PAGEREF _Toc491855593 \h </w:instrText>
      </w:r>
      <w:r>
        <w:rPr>
          <w:noProof/>
        </w:rPr>
      </w:r>
      <w:r>
        <w:rPr>
          <w:noProof/>
        </w:rPr>
        <w:fldChar w:fldCharType="separate"/>
      </w:r>
      <w:r>
        <w:rPr>
          <w:noProof/>
        </w:rPr>
        <w:t>16</w:t>
      </w:r>
      <w:r>
        <w:rPr>
          <w:noProof/>
        </w:rPr>
        <w:fldChar w:fldCharType="end"/>
      </w:r>
    </w:p>
    <w:p w:rsidR="009E54FD" w:rsidRDefault="009E54FD">
      <w:pPr>
        <w:pStyle w:val="TOC1"/>
        <w:tabs>
          <w:tab w:val="left" w:pos="440"/>
          <w:tab w:val="right" w:leader="dot" w:pos="9350"/>
        </w:tabs>
        <w:rPr>
          <w:noProof/>
        </w:rPr>
      </w:pPr>
      <w:r>
        <w:rPr>
          <w:noProof/>
        </w:rPr>
        <w:t>V.</w:t>
      </w:r>
      <w:r>
        <w:rPr>
          <w:noProof/>
        </w:rPr>
        <w:tab/>
        <w:t>Conclusion</w:t>
      </w:r>
      <w:r>
        <w:rPr>
          <w:noProof/>
        </w:rPr>
        <w:tab/>
      </w:r>
      <w:r>
        <w:rPr>
          <w:noProof/>
        </w:rPr>
        <w:fldChar w:fldCharType="begin"/>
      </w:r>
      <w:r>
        <w:rPr>
          <w:noProof/>
        </w:rPr>
        <w:instrText xml:space="preserve"> PAGEREF _Toc491855594 \h </w:instrText>
      </w:r>
      <w:r>
        <w:rPr>
          <w:noProof/>
        </w:rPr>
      </w:r>
      <w:r>
        <w:rPr>
          <w:noProof/>
        </w:rPr>
        <w:fldChar w:fldCharType="separate"/>
      </w:r>
      <w:r>
        <w:rPr>
          <w:noProof/>
        </w:rPr>
        <w:t>19</w:t>
      </w:r>
      <w:r>
        <w:rPr>
          <w:noProof/>
        </w:rPr>
        <w:fldChar w:fldCharType="end"/>
      </w:r>
    </w:p>
    <w:p w:rsidR="009E54FD" w:rsidRPr="006E7B65" w:rsidRDefault="009E54FD" w:rsidP="00754902">
      <w:r>
        <w:fldChar w:fldCharType="end"/>
      </w:r>
    </w:p>
    <w:p w:rsidR="00770681" w:rsidRPr="00770681" w:rsidRDefault="006E7B65" w:rsidP="00754902">
      <w:pPr>
        <w:pStyle w:val="Heading1"/>
      </w:pPr>
      <w:bookmarkStart w:id="1" w:name="_Toc491855579"/>
      <w:r>
        <w:t>Introduction and Observations</w:t>
      </w:r>
      <w:bookmarkEnd w:id="1"/>
    </w:p>
    <w:p w:rsidR="00157657" w:rsidRDefault="00157657" w:rsidP="00CB22A8">
      <w:pPr>
        <w:pStyle w:val="Heading2"/>
      </w:pPr>
      <w:bookmarkStart w:id="2" w:name="_Toc491855580"/>
      <w:r>
        <w:t xml:space="preserve">About </w:t>
      </w:r>
      <w:r w:rsidR="00751DF2">
        <w:t>these reply comments</w:t>
      </w:r>
      <w:bookmarkEnd w:id="2"/>
    </w:p>
    <w:p w:rsidR="00535AEB" w:rsidRDefault="00770681" w:rsidP="00754902">
      <w:r>
        <w:t>NetAccess Futures</w:t>
      </w:r>
      <w:r w:rsidR="00535AEB">
        <w:t xml:space="preserve"> (“we”)</w:t>
      </w:r>
      <w:r w:rsidR="00C00429">
        <w:t xml:space="preserve"> is an industry analysis</w:t>
      </w:r>
      <w:r>
        <w:t xml:space="preserve"> consultancy, specializing in broadband access netw</w:t>
      </w:r>
      <w:r w:rsidR="00751DF2">
        <w:t>orking technology and strategy.</w:t>
      </w:r>
      <w:r>
        <w:t xml:space="preserve"> Its Principal,</w:t>
      </w:r>
      <w:r w:rsidR="009E54FD">
        <w:t xml:space="preserve"> Daniel B. Grossman, has over 35</w:t>
      </w:r>
      <w:r>
        <w:t xml:space="preserve"> years of experience in data networking technology</w:t>
      </w:r>
      <w:r w:rsidR="009E54FD">
        <w:t xml:space="preserve"> and telecommunications</w:t>
      </w:r>
      <w:r>
        <w:t xml:space="preserve">. </w:t>
      </w:r>
      <w:r w:rsidR="00C85237">
        <w:t>He has been</w:t>
      </w:r>
      <w:r w:rsidR="00735E10">
        <w:t xml:space="preserve"> deeply interested in the interaction between communications </w:t>
      </w:r>
      <w:r w:rsidR="00386CBB">
        <w:t>technology,</w:t>
      </w:r>
      <w:r w:rsidR="00735E10">
        <w:t xml:space="preserve"> economics and </w:t>
      </w:r>
      <w:r w:rsidR="00386CBB">
        <w:t>policy</w:t>
      </w:r>
      <w:r w:rsidR="00735E10">
        <w:t>.</w:t>
      </w:r>
      <w:r w:rsidR="009E54FD">
        <w:t xml:space="preserve"> </w:t>
      </w:r>
      <w:r w:rsidR="00C85237">
        <w:t>Past experience also exposed him to the Commission’s Rules and procedures</w:t>
      </w:r>
      <w:r w:rsidR="00810569">
        <w:t>, and instilled respect for their</w:t>
      </w:r>
      <w:r w:rsidR="00FC64BE">
        <w:t xml:space="preserve"> role in maintaining competitive markets</w:t>
      </w:r>
      <w:r w:rsidR="00C85237">
        <w:t>.</w:t>
      </w:r>
    </w:p>
    <w:p w:rsidR="00751DF2" w:rsidRDefault="00535AEB" w:rsidP="00754902">
      <w:r>
        <w:t>We have not engaged counsel to prepare these</w:t>
      </w:r>
      <w:r w:rsidR="00751DF2">
        <w:t xml:space="preserve"> reply</w:t>
      </w:r>
      <w:r w:rsidR="00571B4F">
        <w:t xml:space="preserve"> </w:t>
      </w:r>
      <w:r>
        <w:t xml:space="preserve">comments, </w:t>
      </w:r>
      <w:r w:rsidR="00C85237">
        <w:t>which therefore</w:t>
      </w:r>
      <w:r>
        <w:t xml:space="preserve"> no doubt deviate from</w:t>
      </w:r>
      <w:r w:rsidR="00F24217">
        <w:t xml:space="preserve"> </w:t>
      </w:r>
      <w:r w:rsidR="00386CBB">
        <w:t>normative</w:t>
      </w:r>
      <w:r w:rsidR="003D20AF">
        <w:t xml:space="preserve"> form.</w:t>
      </w:r>
      <w:r>
        <w:t xml:space="preserve"> </w:t>
      </w:r>
      <w:r w:rsidR="00751DF2" w:rsidRPr="00751DF2">
        <w:t xml:space="preserve">We have not footnoted as extensively as we might, and most footnotes are incomplete. Further, we have not </w:t>
      </w:r>
      <w:r w:rsidR="00715587">
        <w:t xml:space="preserve">researched or </w:t>
      </w:r>
      <w:r w:rsidR="00751DF2" w:rsidRPr="00751DF2">
        <w:t>developed all of our arguments as fully as we might have preferred.</w:t>
      </w:r>
    </w:p>
    <w:p w:rsidR="00751DF2" w:rsidRDefault="003D20AF" w:rsidP="00754902">
      <w:r>
        <w:t xml:space="preserve">Since we must prioritize paid work, we were not able to respond </w:t>
      </w:r>
      <w:r w:rsidR="00742EEF">
        <w:t xml:space="preserve">to the NPRM </w:t>
      </w:r>
      <w:r>
        <w:t>during the comment period</w:t>
      </w:r>
      <w:r w:rsidR="00751DF2">
        <w:t>, and have had little time to prepare these reply comments</w:t>
      </w:r>
      <w:r>
        <w:t xml:space="preserve">. </w:t>
      </w:r>
      <w:r w:rsidR="00751DF2">
        <w:t xml:space="preserve">It is not humanly possible for an individual to review the entire record of more than 8 million comments, an unknown number of which are substantive. Indeed, we feel sorry for Wireline Bureau staff, who have had to wade through all of them. Two extensive comments have </w:t>
      </w:r>
      <w:r w:rsidR="009E54FD">
        <w:t>come to our attention</w:t>
      </w:r>
      <w:r w:rsidR="00751DF2">
        <w:t xml:space="preserve">, </w:t>
      </w:r>
      <w:r w:rsidR="009E54FD" w:rsidRPr="009E54FD">
        <w:rPr>
          <w:i/>
        </w:rPr>
        <w:t>Free Press</w:t>
      </w:r>
      <w:r w:rsidR="009E54FD">
        <w:rPr>
          <w:rStyle w:val="FootnoteReference"/>
        </w:rPr>
        <w:footnoteReference w:id="1"/>
      </w:r>
      <w:r w:rsidR="00751DF2">
        <w:t xml:space="preserve"> and</w:t>
      </w:r>
      <w:r w:rsidR="009E54FD">
        <w:t xml:space="preserve"> the </w:t>
      </w:r>
      <w:r w:rsidR="009E54FD" w:rsidRPr="009E54FD">
        <w:rPr>
          <w:i/>
        </w:rPr>
        <w:t xml:space="preserve">Joint Comments </w:t>
      </w:r>
      <w:r w:rsidR="00751DF2" w:rsidRPr="009E54FD">
        <w:rPr>
          <w:i/>
        </w:rPr>
        <w:t>Internet Engineers</w:t>
      </w:r>
      <w:r w:rsidR="009E54FD" w:rsidRPr="009E54FD">
        <w:rPr>
          <w:i/>
        </w:rPr>
        <w:t>, Pioneers and Technologists</w:t>
      </w:r>
      <w:r w:rsidR="009E54FD">
        <w:rPr>
          <w:rStyle w:val="FootnoteReference"/>
        </w:rPr>
        <w:footnoteReference w:id="2"/>
      </w:r>
      <w:r w:rsidR="00751DF2">
        <w:t>, which capture our clear understandings and earn</w:t>
      </w:r>
      <w:r w:rsidR="009E54FD">
        <w:t xml:space="preserve"> our</w:t>
      </w:r>
      <w:r w:rsidR="00751DF2">
        <w:t xml:space="preserve"> support and elaboration.</w:t>
      </w:r>
    </w:p>
    <w:p w:rsidR="00770681" w:rsidRDefault="00751DF2" w:rsidP="00754902">
      <w:r>
        <w:t>W</w:t>
      </w:r>
      <w:r w:rsidR="00B2015C">
        <w:t xml:space="preserve">e think it valuable to have </w:t>
      </w:r>
      <w:r w:rsidR="009E54FD">
        <w:t>these R</w:t>
      </w:r>
      <w:r>
        <w:t xml:space="preserve">eply comments on the record, not because we expect it to influence Commission actions, but rather in the likelihood that this matter will be </w:t>
      </w:r>
      <w:r w:rsidR="00742EEF">
        <w:t>revisited</w:t>
      </w:r>
      <w:r>
        <w:t xml:space="preserve"> on appeal</w:t>
      </w:r>
      <w:r w:rsidR="00742EEF">
        <w:t>.</w:t>
      </w:r>
      <w:r w:rsidR="009E54FD">
        <w:t xml:space="preserve"> If any of these comments are of an </w:t>
      </w:r>
      <w:r w:rsidR="009E54FD" w:rsidRPr="009E54FD">
        <w:rPr>
          <w:i/>
        </w:rPr>
        <w:t>ex-parte</w:t>
      </w:r>
      <w:r w:rsidR="009E54FD">
        <w:t xml:space="preserve"> nature, we request that the</w:t>
      </w:r>
      <w:r w:rsidR="00001C1A">
        <w:t>y</w:t>
      </w:r>
      <w:r w:rsidR="009E54FD">
        <w:t xml:space="preserve"> nonetheless be part of the public record.</w:t>
      </w:r>
    </w:p>
    <w:p w:rsidR="00735E10" w:rsidRDefault="00735E10" w:rsidP="00754902">
      <w:r>
        <w:t>NetAccess Futures does not presently have any clients who are parties in this matter.</w:t>
      </w:r>
    </w:p>
    <w:p w:rsidR="00157657" w:rsidRDefault="00157657" w:rsidP="00CB22A8">
      <w:pPr>
        <w:pStyle w:val="Heading2"/>
      </w:pPr>
      <w:bookmarkStart w:id="3" w:name="_Toc491855581"/>
      <w:r>
        <w:t>Background</w:t>
      </w:r>
      <w:bookmarkEnd w:id="3"/>
    </w:p>
    <w:p w:rsidR="00C00429" w:rsidRDefault="00571B4F" w:rsidP="00C00429">
      <w:r>
        <w:t xml:space="preserve">NetAccess Futures filed </w:t>
      </w:r>
      <w:r w:rsidR="00C00429">
        <w:t xml:space="preserve">extensive </w:t>
      </w:r>
      <w:r>
        <w:t xml:space="preserve">comments in </w:t>
      </w:r>
      <w:r w:rsidR="00C00429">
        <w:t>Open Internet proceeding</w:t>
      </w:r>
      <w:r>
        <w:rPr>
          <w:rStyle w:val="FootnoteReference"/>
        </w:rPr>
        <w:footnoteReference w:id="3"/>
      </w:r>
      <w:r>
        <w:t xml:space="preserve">  </w:t>
      </w:r>
      <w:r w:rsidR="00EF040E">
        <w:t xml:space="preserve">We </w:t>
      </w:r>
      <w:r w:rsidR="00C00429">
        <w:t>were</w:t>
      </w:r>
      <w:r w:rsidR="00EF040E">
        <w:t xml:space="preserve"> gratified to note that the </w:t>
      </w:r>
      <w:r w:rsidR="00C00429">
        <w:t>Commission</w:t>
      </w:r>
      <w:r w:rsidR="00EF040E">
        <w:t xml:space="preserve"> adopted many of </w:t>
      </w:r>
      <w:r w:rsidR="00622A8D">
        <w:t>the ideas proposed in our comments</w:t>
      </w:r>
      <w:r w:rsidR="00C00429">
        <w:t>, and indeed referenced them in the Order. The decision to apply Title II to ISPs was a pleasant surprise; we had assumed that the previous Chairman did not have the stomach for the controversy that subsequently came to pass. That said, we assumed that the rules were settled, and that the courts would uphold them.</w:t>
      </w:r>
    </w:p>
    <w:p w:rsidR="00524A99" w:rsidRDefault="00524A99" w:rsidP="00C00429">
      <w:r>
        <w:t>The disastrous 2016 election upset that, as well as many other apple carts. Chairman Wheeler was forced to resign, a</w:t>
      </w:r>
      <w:r w:rsidR="00742EEF">
        <w:t xml:space="preserve">nd Commissioner </w:t>
      </w:r>
      <w:r>
        <w:t>Pai was promoted to Chairman. This administration has a penchant for turning gold into manure, and the FCC was not an exception.</w:t>
      </w:r>
    </w:p>
    <w:p w:rsidR="00524A99" w:rsidRDefault="00524A99" w:rsidP="00524A99">
      <w:pPr>
        <w:pStyle w:val="Heading2"/>
      </w:pPr>
      <w:bookmarkStart w:id="4" w:name="_Toc491855582"/>
      <w:r>
        <w:t>This proceeding brings disgrace upon the Commission</w:t>
      </w:r>
      <w:bookmarkEnd w:id="4"/>
    </w:p>
    <w:p w:rsidR="00524A99" w:rsidRDefault="00524A99" w:rsidP="00524A99">
      <w:r>
        <w:t>Chairman Wheeler restored the public’s trust in the FCC with the Open Internet order, the Internet Privacy order, and other Commission actio</w:t>
      </w:r>
      <w:r w:rsidR="005C5A3D">
        <w:t>ns.</w:t>
      </w:r>
      <w:r>
        <w:t xml:space="preserve"> Prior to the Open Internet order, he was wrongly derided as an industry stooge and a hungry dingo left to mind the baby. Afterwards, he was recognized as a dedicated public servant who put consumer interests </w:t>
      </w:r>
      <w:r w:rsidR="00BD1EC2">
        <w:t>first</w:t>
      </w:r>
      <w:r>
        <w:t>. The Commission basked in its new-found reputation.</w:t>
      </w:r>
    </w:p>
    <w:p w:rsidR="00BD1EC2" w:rsidRDefault="00524A99" w:rsidP="00754902">
      <w:r>
        <w:t>Regrettably, Chairman</w:t>
      </w:r>
      <w:r w:rsidR="00B143CB">
        <w:t xml:space="preserve"> Pai seeks to reverse all that, and bring the Commission back into public disrepute. </w:t>
      </w:r>
      <w:r w:rsidR="00B143CB" w:rsidRPr="00B143CB">
        <w:t xml:space="preserve">Regardless of the Chairman’s </w:t>
      </w:r>
      <w:r w:rsidR="001D5A72">
        <w:t>interior motives</w:t>
      </w:r>
      <w:r w:rsidR="00B143CB" w:rsidRPr="00B143CB">
        <w:t>,</w:t>
      </w:r>
      <w:r w:rsidR="00B143CB">
        <w:t xml:space="preserve"> this proceeding stinks of revolving doors, regulatory capture and pay-to-play – business as usual in the Washington swamp. </w:t>
      </w:r>
      <w:r w:rsidR="005C5A3D">
        <w:t xml:space="preserve">It creates a perception of public corruption, regardless of whether individual Commissioners </w:t>
      </w:r>
      <w:r w:rsidR="00BD1EC2">
        <w:t>have violated any law or ethics rule.</w:t>
      </w:r>
    </w:p>
    <w:p w:rsidR="00EF040E" w:rsidRDefault="00BD1EC2" w:rsidP="00754902">
      <w:r>
        <w:t xml:space="preserve">Recognizing that public comments in regulatory proceedings are not a referendum, the possibility that the Commission will ignore </w:t>
      </w:r>
      <w:r w:rsidR="001D5A72">
        <w:t>more than 21 million</w:t>
      </w:r>
      <w:r>
        <w:t xml:space="preserve"> comments from concerned citizens is troubling</w:t>
      </w:r>
      <w:r w:rsidR="00F34D9D">
        <w:t xml:space="preserve">.  </w:t>
      </w:r>
      <w:r>
        <w:t xml:space="preserve">That </w:t>
      </w:r>
      <w:r w:rsidR="001D5A72">
        <w:t xml:space="preserve">the Chairman opened </w:t>
      </w:r>
      <w:r>
        <w:t xml:space="preserve">this proceeding to reverse a previous rulemaking that enjoyed enormous public support is yet more troubling. By adopting this item, the Commission has thumbed its nose at the concerned public. </w:t>
      </w:r>
    </w:p>
    <w:p w:rsidR="00BD1EC2" w:rsidRDefault="00BD1EC2" w:rsidP="00BD1EC2">
      <w:pPr>
        <w:pStyle w:val="Heading2"/>
      </w:pPr>
      <w:bookmarkStart w:id="5" w:name="_Toc491855583"/>
      <w:r>
        <w:t>The NPRM is unworthy of a</w:t>
      </w:r>
      <w:r w:rsidR="00715587">
        <w:t>n independent</w:t>
      </w:r>
      <w:r>
        <w:t xml:space="preserve"> Federal agency</w:t>
      </w:r>
      <w:bookmarkEnd w:id="5"/>
    </w:p>
    <w:p w:rsidR="00E66505" w:rsidRDefault="00536B09" w:rsidP="00BD1EC2">
      <w:r>
        <w:t>In more th</w:t>
      </w:r>
      <w:r w:rsidR="00715587">
        <w:t>an 35 years of reading</w:t>
      </w:r>
      <w:r w:rsidR="00BD1EC2">
        <w:t xml:space="preserve"> </w:t>
      </w:r>
      <w:r>
        <w:t>Commission documents, I have never seen anything like this NPRM. It is, bluntly, a partisan hack job, devo</w:t>
      </w:r>
      <w:r w:rsidR="00E66505">
        <w:t xml:space="preserve">id of any semblance of balance or intellectual integrity. </w:t>
      </w:r>
      <w:r>
        <w:t>The Chair</w:t>
      </w:r>
      <w:r w:rsidR="001D5A72">
        <w:t xml:space="preserve">man elected to use inflammatory, prejudicial </w:t>
      </w:r>
      <w:r>
        <w:t>language</w:t>
      </w:r>
      <w:r w:rsidR="003D20AF">
        <w:t xml:space="preserve"> and hyperbole</w:t>
      </w:r>
      <w:r>
        <w:t>, attacking and belittling his predecessor and dismissing any doubt of the righteousness of his cause.</w:t>
      </w:r>
      <w:r w:rsidR="001D5A72">
        <w:t xml:space="preserve"> It is rooted in an extreme anti-regulatory, unfettered free market ideology which ignores real-world experience.</w:t>
      </w:r>
    </w:p>
    <w:p w:rsidR="009E69DB" w:rsidRDefault="00E66505" w:rsidP="00BD1EC2">
      <w:r>
        <w:t>This document was apparently written from the same style manual used by Ke</w:t>
      </w:r>
      <w:r w:rsidR="00972820">
        <w:t>llyanne Conway and Sean Spicer.</w:t>
      </w:r>
      <w:r w:rsidR="00536B09">
        <w:t xml:space="preserve"> </w:t>
      </w:r>
      <w:r w:rsidR="00972820">
        <w:t xml:space="preserve">It confidently revels in contradictions and counterfactuals. It is loaded with pretzel logic. It is the definition of doublethink. </w:t>
      </w:r>
      <w:r w:rsidR="00536B09">
        <w:t>The very title, “Restoring Internet Freedom” is Orwellian; it is about freedom only in the sense of “Freedom is Slavery”.</w:t>
      </w:r>
      <w:r w:rsidR="00536B09">
        <w:rPr>
          <w:rStyle w:val="FootnoteReference"/>
        </w:rPr>
        <w:footnoteReference w:id="4"/>
      </w:r>
      <w:r w:rsidR="00536B09">
        <w:t xml:space="preserve"> We are somehow to believe that restraints against abusive practices by dominant business entities somehow harm the public interest.</w:t>
      </w:r>
      <w:r w:rsidR="00972820">
        <w:t xml:space="preserve"> We are to think that documented abuses by ISPs never happened.</w:t>
      </w:r>
      <w:r w:rsidR="00536B09">
        <w:t xml:space="preserve"> To a reader deeply familiar with the subject, its claims are patently devoid of evidence and reason.</w:t>
      </w:r>
    </w:p>
    <w:p w:rsidR="003D20AF" w:rsidRDefault="003D20AF" w:rsidP="00BD1EC2">
      <w:r>
        <w:t>The NPRM dismisses Title II of the Communications Act</w:t>
      </w:r>
      <w:r w:rsidR="00742EEF">
        <w:t xml:space="preserve"> of 1934</w:t>
      </w:r>
      <w:r>
        <w:t xml:space="preserve"> as “utility-style regulation”, </w:t>
      </w:r>
      <w:r w:rsidR="00742EEF">
        <w:t>somehow irrelevant to present circumstances. Regardless of the Chairman’s opinion, Title II</w:t>
      </w:r>
      <w:r w:rsidR="00972820">
        <w:t xml:space="preserve"> remains the law until Congress </w:t>
      </w:r>
      <w:r w:rsidR="00742EEF">
        <w:t>changes it. The NPRM proposes, in effect, that the Commission abdicate its statutory responsibility to regulate. That a regulatory agency refuses to do its job is not unheard of</w:t>
      </w:r>
      <w:r w:rsidR="00972820">
        <w:t xml:space="preserve"> in Republican administrations</w:t>
      </w:r>
      <w:r w:rsidR="00742EEF">
        <w:t>, but nonetheless an assault on the Rule of Law.</w:t>
      </w:r>
      <w:r w:rsidR="00B740CF">
        <w:t xml:space="preserve"> </w:t>
      </w:r>
    </w:p>
    <w:p w:rsidR="00BD1EC2" w:rsidRDefault="009E69DB" w:rsidP="009E69DB">
      <w:pPr>
        <w:pStyle w:val="Heading2"/>
      </w:pPr>
      <w:bookmarkStart w:id="6" w:name="_Toc491855584"/>
      <w:r>
        <w:t>The NPRM is based upon false premises</w:t>
      </w:r>
      <w:bookmarkEnd w:id="6"/>
    </w:p>
    <w:p w:rsidR="009E69DB" w:rsidRDefault="009E69DB" w:rsidP="009E69DB">
      <w:r>
        <w:t>The NPRM is framed around a series of untrue, unproven and risible claims.</w:t>
      </w:r>
    </w:p>
    <w:p w:rsidR="009E69DB" w:rsidRDefault="009E69DB" w:rsidP="009E69DB">
      <w:pPr>
        <w:pStyle w:val="Heading3"/>
      </w:pPr>
      <w:r>
        <w:t xml:space="preserve">It claims that the application of Title II to ISPs has hurt investment. </w:t>
      </w:r>
      <w:r w:rsidR="003D20AF">
        <w:t>This is at best an untestable hypothesis, and contrary to all evidence</w:t>
      </w:r>
      <w:r w:rsidR="00742EEF">
        <w:t xml:space="preserve"> and </w:t>
      </w:r>
      <w:r w:rsidR="004D7D56">
        <w:t>our</w:t>
      </w:r>
      <w:r w:rsidR="00742EEF">
        <w:t xml:space="preserve"> professional experience</w:t>
      </w:r>
      <w:r w:rsidR="003D20AF">
        <w:t>. We discuss this below in support of the comments of Public Knowledge.</w:t>
      </w:r>
    </w:p>
    <w:p w:rsidR="003D20AF" w:rsidRDefault="003D20AF" w:rsidP="003D20AF">
      <w:pPr>
        <w:pStyle w:val="Heading3"/>
      </w:pPr>
      <w:r>
        <w:t xml:space="preserve">It </w:t>
      </w:r>
      <w:r w:rsidR="00742EEF">
        <w:t xml:space="preserve">misrepresents the workings of the Internet. We discuss this below in support of the comments of </w:t>
      </w:r>
      <w:r w:rsidR="00B740CF">
        <w:t xml:space="preserve">the </w:t>
      </w:r>
      <w:r w:rsidR="00742EEF">
        <w:t>Internet Engineers.</w:t>
      </w:r>
    </w:p>
    <w:p w:rsidR="00742EEF" w:rsidRDefault="00742EEF" w:rsidP="00742EEF">
      <w:pPr>
        <w:pStyle w:val="Heading3"/>
      </w:pPr>
      <w:r>
        <w:t xml:space="preserve">It conflates the </w:t>
      </w:r>
      <w:r w:rsidR="008F1CA3">
        <w:t xml:space="preserve">consumer </w:t>
      </w:r>
      <w:r>
        <w:t xml:space="preserve">broadband access market with the Internet </w:t>
      </w:r>
      <w:r w:rsidR="004D7D56">
        <w:t xml:space="preserve">applications and content </w:t>
      </w:r>
      <w:r>
        <w:t>market</w:t>
      </w:r>
      <w:r w:rsidR="004D7D56">
        <w:t xml:space="preserve">. </w:t>
      </w:r>
    </w:p>
    <w:p w:rsidR="004D7D56" w:rsidRDefault="004D7D56" w:rsidP="004D7D56">
      <w:pPr>
        <w:pStyle w:val="Heading3"/>
      </w:pPr>
      <w:r>
        <w:t xml:space="preserve">It claims that broadband access is a competitive market, despite the FCC’s own </w:t>
      </w:r>
      <w:r w:rsidR="00715587">
        <w:t>data</w:t>
      </w:r>
      <w:r>
        <w:t xml:space="preserve"> to the contrary. </w:t>
      </w:r>
      <w:r w:rsidR="00715587">
        <w:t>[insert numbers from this year’s broadband report here]</w:t>
      </w:r>
    </w:p>
    <w:p w:rsidR="004D7D56" w:rsidRDefault="004D7D56" w:rsidP="004D7D56">
      <w:pPr>
        <w:pStyle w:val="Heading3"/>
      </w:pPr>
      <w:r>
        <w:t xml:space="preserve">It claims that the Open Internet order reverses a bipartisan consensus that broadband access should be treated as unregulated Information Services. This is </w:t>
      </w:r>
      <w:r w:rsidR="00B740CF">
        <w:t>based on a twisted view of history, and a blatant misrepresentation of the present debate</w:t>
      </w:r>
      <w:r>
        <w:t xml:space="preserve">. </w:t>
      </w:r>
      <w:r w:rsidR="00B740CF">
        <w:t>We challenge the Chairman to identify one minority member of the Commissions’s oversight committees who supports this action.</w:t>
      </w:r>
    </w:p>
    <w:p w:rsidR="00A84EB7" w:rsidRDefault="00A84EB7" w:rsidP="00A84EB7">
      <w:pPr>
        <w:pStyle w:val="Heading3"/>
      </w:pPr>
      <w:r>
        <w:t>It assumes that “utility style regulation” is somehow a relic, irrelevant in the Internet era. First, the dog-whistle phrase is misleading</w:t>
      </w:r>
      <w:r w:rsidR="001D5A72">
        <w:t>; common carriage and public utility are not synonymous</w:t>
      </w:r>
      <w:r>
        <w:t>. Nothing</w:t>
      </w:r>
      <w:r w:rsidR="001D5A72">
        <w:t xml:space="preserve"> in the Open Internet order comes</w:t>
      </w:r>
      <w:r>
        <w:t xml:space="preserve"> even close to the level of micromanagement that arises from utility regulation. The order deliberately eschewed any price regulation, much less rate-of-return regulation. Common carriage is the appropriate status for ISPs</w:t>
      </w:r>
      <w:r w:rsidR="00172100">
        <w:t>.</w:t>
      </w:r>
      <w:r>
        <w:t xml:space="preserve"> Indeed, the conditions that led to the communications act – a natural monopoly in transmission over bottleneck facilities and resulting lack of market discipline – hold every bit as much for the fiber and coax of the first third of 21</w:t>
      </w:r>
      <w:r w:rsidRPr="00A84EB7">
        <w:rPr>
          <w:vertAlign w:val="superscript"/>
        </w:rPr>
        <w:t>st</w:t>
      </w:r>
      <w:r>
        <w:t xml:space="preserve"> century as </w:t>
      </w:r>
      <w:r w:rsidR="001D5A72">
        <w:t>they did</w:t>
      </w:r>
      <w:r>
        <w:t xml:space="preserve"> for </w:t>
      </w:r>
      <w:r w:rsidR="00172100">
        <w:t xml:space="preserve">twisted pairs in </w:t>
      </w:r>
      <w:r w:rsidR="001D5A72">
        <w:t>the 20</w:t>
      </w:r>
      <w:r w:rsidR="001D5A72" w:rsidRPr="001D5A72">
        <w:rPr>
          <w:vertAlign w:val="superscript"/>
        </w:rPr>
        <w:t>th</w:t>
      </w:r>
      <w:r w:rsidR="001D5A72">
        <w:t xml:space="preserve"> century</w:t>
      </w:r>
      <w:r w:rsidR="00172100">
        <w:t>.</w:t>
      </w:r>
    </w:p>
    <w:p w:rsidR="00172100" w:rsidRPr="00172100" w:rsidRDefault="00172100" w:rsidP="00172100">
      <w:pPr>
        <w:pStyle w:val="Heading3"/>
      </w:pPr>
      <w:r>
        <w:t>It treats the very minimal demands of the Open Internet order as an insurmountable burden on ISPs. In fact, they do not apply to the Tier-3 carriers</w:t>
      </w:r>
      <w:r w:rsidR="001D5A72">
        <w:t xml:space="preserve"> with fewer than 250,000 subscribers, which</w:t>
      </w:r>
      <w:r>
        <w:t xml:space="preserve"> </w:t>
      </w:r>
      <w:r w:rsidR="001D5A72">
        <w:t xml:space="preserve">typically </w:t>
      </w:r>
      <w:r>
        <w:t>lack a regulatory support infrastructure. Tier-1 and Tier-2 carriers need only file a minimum amount of reports and affidavits and, more important, abide by the Rules</w:t>
      </w:r>
      <w:r w:rsidR="001D5A72">
        <w:t>. They suffer only if they want</w:t>
      </w:r>
      <w:r>
        <w:t xml:space="preserve"> to do something contrary to the Rules, which they should not be permitted to do in the first place, and which they claim they have no interest in doing. </w:t>
      </w:r>
    </w:p>
    <w:p w:rsidR="00935823" w:rsidRPr="00735E10" w:rsidRDefault="00715587" w:rsidP="00754902">
      <w:pPr>
        <w:pStyle w:val="Heading3"/>
      </w:pPr>
      <w:r>
        <w:t>It suggests that industry might self-regulate against abusive practices. In other words, the fox can guard the hen house. This idea is so r</w:t>
      </w:r>
      <w:r w:rsidR="001D5A72">
        <w:t>isible as not to deserve a response</w:t>
      </w:r>
      <w:r>
        <w:t>.</w:t>
      </w:r>
    </w:p>
    <w:p w:rsidR="000551B7" w:rsidRPr="00A30EAA" w:rsidRDefault="000551B7" w:rsidP="00FD13CA"/>
    <w:p w:rsidR="00B6354F" w:rsidRDefault="00B6354F" w:rsidP="00B6354F">
      <w:pPr>
        <w:pStyle w:val="Heading1"/>
      </w:pPr>
      <w:bookmarkStart w:id="7" w:name="_Toc491855585"/>
      <w:r>
        <w:t xml:space="preserve">Outline of Our </w:t>
      </w:r>
      <w:bookmarkEnd w:id="7"/>
      <w:r w:rsidR="001D5A72">
        <w:t>Principles</w:t>
      </w:r>
    </w:p>
    <w:p w:rsidR="00B6354F" w:rsidRDefault="008F1CA3" w:rsidP="001A0F47">
      <w:r>
        <w:t xml:space="preserve">In our comments on the Open Internet order, we expressed the following thoughts, which we excerpt for the convenience of </w:t>
      </w:r>
      <w:r w:rsidR="001D5A72">
        <w:t xml:space="preserve">Commission </w:t>
      </w:r>
      <w:r>
        <w:t>staff and future plaintiff’s attorneys</w:t>
      </w:r>
      <w:r w:rsidR="00B6354F">
        <w:t>.</w:t>
      </w:r>
    </w:p>
    <w:p w:rsidR="0098312F" w:rsidRDefault="00B6354F" w:rsidP="008F1CA3">
      <w:r>
        <w:t xml:space="preserve">  </w:t>
      </w:r>
    </w:p>
    <w:p w:rsidR="00D966D4" w:rsidRDefault="00D966D4" w:rsidP="00F3572D">
      <w:pPr>
        <w:pStyle w:val="ListParagraph"/>
        <w:numPr>
          <w:ilvl w:val="0"/>
          <w:numId w:val="26"/>
        </w:numPr>
      </w:pPr>
      <w:r>
        <w:t xml:space="preserve">We take the societal value of the Internet as a given that requires no elaboration.  The Internet’s </w:t>
      </w:r>
      <w:r w:rsidR="00250F2A">
        <w:t xml:space="preserve">supporting </w:t>
      </w:r>
      <w:r>
        <w:t>facilities are critical infrastructure and a utility (with a small ‘u’).</w:t>
      </w:r>
    </w:p>
    <w:p w:rsidR="00B6354F" w:rsidRDefault="0098312F" w:rsidP="0098312F">
      <w:pPr>
        <w:pStyle w:val="ListParagraph"/>
        <w:numPr>
          <w:ilvl w:val="0"/>
          <w:numId w:val="26"/>
        </w:numPr>
      </w:pPr>
      <w:r>
        <w:t xml:space="preserve">There is insufficient competition in local broadband access markets to assert market discipline. Broadband providers have </w:t>
      </w:r>
      <w:r w:rsidR="00D966D4">
        <w:t>(</w:t>
      </w:r>
      <w:r>
        <w:t>but do not necessarily act upon</w:t>
      </w:r>
      <w:r w:rsidR="00D966D4">
        <w:t>)</w:t>
      </w:r>
      <w:r>
        <w:t xml:space="preserve"> perverse incentives,</w:t>
      </w:r>
      <w:r w:rsidR="002A066C">
        <w:t xml:space="preserve"> supported by</w:t>
      </w:r>
      <w:r>
        <w:t xml:space="preserve"> lack of market discipline.   Specifically, they are in a position to engage in anti-competitive and anti-consumer practices, extraction of monopoly rents, </w:t>
      </w:r>
      <w:r w:rsidR="003D31CA">
        <w:t xml:space="preserve">self-dealing and (arguably) suppression of public discourse.  The Commission’s Rules and </w:t>
      </w:r>
      <w:r w:rsidR="002A066C">
        <w:t>enforcement</w:t>
      </w:r>
      <w:r w:rsidR="003D31CA">
        <w:t xml:space="preserve"> process must therefo</w:t>
      </w:r>
      <w:r w:rsidR="00D966D4">
        <w:t>re substitute for market forces in prohibiting such abuses.</w:t>
      </w:r>
    </w:p>
    <w:p w:rsidR="003D31CA" w:rsidRDefault="00D966D4" w:rsidP="00D966D4">
      <w:pPr>
        <w:pStyle w:val="ListParagraph"/>
        <w:numPr>
          <w:ilvl w:val="0"/>
          <w:numId w:val="26"/>
        </w:numPr>
      </w:pPr>
      <w:r>
        <w:t xml:space="preserve"> </w:t>
      </w:r>
      <w:r w:rsidR="00583C7A">
        <w:t xml:space="preserve">“The Internet” represents a value chain of consumers, network providers, edge providers, content providers and others.  Allocation of consumer revenue among the rest of the value chain is a zero-sum game.  The Commission will frequently be called upon to adjudicate tussles over </w:t>
      </w:r>
      <w:r w:rsidR="00A30EAA">
        <w:t xml:space="preserve">cost and </w:t>
      </w:r>
      <w:r w:rsidR="00583C7A">
        <w:t>revenue</w:t>
      </w:r>
      <w:r w:rsidR="00F3572D">
        <w:rPr>
          <w:rStyle w:val="FootnoteReference"/>
        </w:rPr>
        <w:footnoteReference w:id="5"/>
      </w:r>
      <w:r w:rsidR="00583C7A">
        <w:t>.</w:t>
      </w:r>
    </w:p>
    <w:p w:rsidR="00F64442" w:rsidRDefault="00583C7A" w:rsidP="00F64442">
      <w:pPr>
        <w:pStyle w:val="ListParagraph"/>
        <w:numPr>
          <w:ilvl w:val="0"/>
          <w:numId w:val="26"/>
        </w:numPr>
      </w:pPr>
      <w:r>
        <w:t>The Internet is a Network of Networks.  While nobody “own</w:t>
      </w:r>
      <w:r w:rsidR="002A066C">
        <w:t>s</w:t>
      </w:r>
      <w:r>
        <w:t xml:space="preserve"> the Internet”, some entity owns each of its constituent networks.  Those entities are often for-profit corporations</w:t>
      </w:r>
      <w:r w:rsidR="00D966D4">
        <w:t xml:space="preserve">.   Capital and operating expenses for building, operating, maintaining and upgrading networks – particularly </w:t>
      </w:r>
      <w:r w:rsidR="00A30EAA">
        <w:t>access network infrastructure</w:t>
      </w:r>
      <w:r w:rsidR="00250F2A">
        <w:t xml:space="preserve"> – are immense. </w:t>
      </w:r>
      <w:r w:rsidR="00D966D4">
        <w:t>The Internet’s business model must support adequate return-on-investment to incent these investments</w:t>
      </w:r>
      <w:r w:rsidR="00F64442">
        <w:t>.</w:t>
      </w:r>
    </w:p>
    <w:p w:rsidR="00D966D4" w:rsidRDefault="00D966D4" w:rsidP="00A30EAA">
      <w:pPr>
        <w:pStyle w:val="ListParagraph"/>
        <w:numPr>
          <w:ilvl w:val="0"/>
          <w:numId w:val="26"/>
        </w:numPr>
      </w:pPr>
      <w:r>
        <w:t>The Internet’s architecture is not engraved on stone tablets,</w:t>
      </w:r>
      <w:r w:rsidR="00A30EAA" w:rsidRPr="00A30EAA">
        <w:t xml:space="preserve"> according to </w:t>
      </w:r>
      <w:r w:rsidR="00A30EAA">
        <w:t>some</w:t>
      </w:r>
      <w:r w:rsidR="00A30EAA" w:rsidRPr="00A30EAA">
        <w:t xml:space="preserve"> platonic ideal</w:t>
      </w:r>
      <w:r w:rsidR="00A30EAA">
        <w:t xml:space="preserve">, </w:t>
      </w:r>
      <w:r>
        <w:t>forever immutable.  It evolves in response to identified engineering</w:t>
      </w:r>
      <w:r w:rsidR="002A066C">
        <w:t xml:space="preserve"> and business</w:t>
      </w:r>
      <w:r>
        <w:t xml:space="preserve"> problems.</w:t>
      </w:r>
      <w:r w:rsidR="00A30EAA">
        <w:t xml:space="preserve">  The way the Internet actually works is very different from the way it is generally perceived to work</w:t>
      </w:r>
      <w:r w:rsidR="00717B9E">
        <w:t>.</w:t>
      </w:r>
    </w:p>
    <w:p w:rsidR="00717B9E" w:rsidRDefault="00717B9E" w:rsidP="00717B9E">
      <w:pPr>
        <w:pStyle w:val="ListParagraph"/>
        <w:numPr>
          <w:ilvl w:val="0"/>
          <w:numId w:val="26"/>
        </w:numPr>
      </w:pPr>
      <w:r>
        <w:t xml:space="preserve">Point-of-view based blocking and degradation of traffic is odious and unacceptable.  The Commission must be vigilant against anti-competitive blocking and degradation.  </w:t>
      </w:r>
    </w:p>
    <w:p w:rsidR="00583C7A" w:rsidRDefault="00D966D4" w:rsidP="00D966D4">
      <w:pPr>
        <w:pStyle w:val="ListParagraph"/>
        <w:numPr>
          <w:ilvl w:val="0"/>
          <w:numId w:val="26"/>
        </w:numPr>
      </w:pPr>
      <w:r w:rsidRPr="00D966D4">
        <w:t>The Internet is a content agnostic platform for all forms of communications.  However, the technical and economic characteristics of various communications varies widely.  Traffic handling behaviors are optimal for some applications, content and protocols, and are sub-optimal (or even inadequate) for others.  The Internet can and should handle traffic in the most optimal fashion.</w:t>
      </w:r>
    </w:p>
    <w:p w:rsidR="00D17028" w:rsidRDefault="00717B9E" w:rsidP="00D966D4">
      <w:pPr>
        <w:pStyle w:val="ListParagraph"/>
        <w:numPr>
          <w:ilvl w:val="0"/>
          <w:numId w:val="26"/>
        </w:numPr>
      </w:pPr>
      <w:r>
        <w:t>The Internet’s canonical</w:t>
      </w:r>
      <w:r w:rsidR="00D17028">
        <w:t xml:space="preserve"> and default</w:t>
      </w:r>
      <w:r>
        <w:t xml:space="preserve"> traffic handling behavior is “Best Effort”</w:t>
      </w:r>
      <w:r w:rsidR="004B2A3D">
        <w:t>, with flat rate charging.</w:t>
      </w:r>
    </w:p>
    <w:p w:rsidR="00860405" w:rsidRDefault="005F1552" w:rsidP="00D966D4">
      <w:pPr>
        <w:pStyle w:val="ListParagraph"/>
        <w:numPr>
          <w:ilvl w:val="0"/>
          <w:numId w:val="26"/>
        </w:numPr>
      </w:pPr>
      <w:r>
        <w:t>Best Effort service must treat traffic from all sources to all destinations roughly “fairly”, with</w:t>
      </w:r>
      <w:r w:rsidR="008F1CA3">
        <w:t xml:space="preserve">out commercial discrimination. </w:t>
      </w:r>
      <w:r>
        <w:t xml:space="preserve"> Excess delay and packet dropping should occur only during periods of congestion.</w:t>
      </w:r>
    </w:p>
    <w:p w:rsidR="004B2A3D" w:rsidRDefault="00A14B23" w:rsidP="00250F2A">
      <w:pPr>
        <w:pStyle w:val="ListParagraph"/>
        <w:numPr>
          <w:ilvl w:val="0"/>
          <w:numId w:val="26"/>
        </w:numPr>
      </w:pPr>
      <w:r>
        <w:t xml:space="preserve">The Internet’s dynamics are complex, </w:t>
      </w:r>
      <w:r w:rsidR="00D17028">
        <w:t xml:space="preserve">incompletely </w:t>
      </w:r>
      <w:r>
        <w:t>understood, and often counter-intuitive.  Differentiated traffic handling can, in some circumstances, improve overall performance.</w:t>
      </w:r>
    </w:p>
    <w:p w:rsidR="0098312F" w:rsidRDefault="00EF61A9" w:rsidP="001A0F47">
      <w:pPr>
        <w:pStyle w:val="ListParagraph"/>
        <w:numPr>
          <w:ilvl w:val="0"/>
          <w:numId w:val="26"/>
        </w:numPr>
      </w:pPr>
      <w:r>
        <w:t>The Commission should be vigilant against egregious practices and</w:t>
      </w:r>
      <w:r w:rsidR="00250F2A">
        <w:t xml:space="preserve"> be empowered and</w:t>
      </w:r>
      <w:r>
        <w:t xml:space="preserve"> prepared to take enforcement action when needed.</w:t>
      </w:r>
    </w:p>
    <w:p w:rsidR="008F1CA3" w:rsidRDefault="005F1552" w:rsidP="005F1552">
      <w:r>
        <w:t>Th</w:t>
      </w:r>
      <w:r w:rsidR="008F1CA3">
        <w:t>e Open Internet order fulfilled these principles. The NPRM</w:t>
      </w:r>
      <w:r w:rsidR="00FE58F5">
        <w:t xml:space="preserve"> seeks to undermine them.</w:t>
      </w:r>
    </w:p>
    <w:p w:rsidR="00D7311F" w:rsidRDefault="00D7311F" w:rsidP="00FE58F5">
      <w:pPr>
        <w:pStyle w:val="Heading1"/>
        <w:numPr>
          <w:ilvl w:val="0"/>
          <w:numId w:val="0"/>
        </w:numPr>
      </w:pPr>
      <w:bookmarkStart w:id="8" w:name="_Toc491855586"/>
      <w:r>
        <w:t xml:space="preserve">The Internet’s architecture </w:t>
      </w:r>
      <w:r w:rsidR="00895546">
        <w:t xml:space="preserve">Inherently </w:t>
      </w:r>
      <w:r>
        <w:t xml:space="preserve">provides Technical ability </w:t>
      </w:r>
      <w:r w:rsidR="00CB0BDB">
        <w:t xml:space="preserve">– But not necessarily incentives - </w:t>
      </w:r>
      <w:r>
        <w:t>to violate openness</w:t>
      </w:r>
      <w:bookmarkEnd w:id="8"/>
    </w:p>
    <w:p w:rsidR="00D7311F" w:rsidRDefault="00FE58F5" w:rsidP="00D7311F">
      <w:r>
        <w:t>In our previous comments, we</w:t>
      </w:r>
      <w:r w:rsidR="00D7311F">
        <w:t xml:space="preserve"> </w:t>
      </w:r>
      <w:r>
        <w:t xml:space="preserve">sought </w:t>
      </w:r>
      <w:r w:rsidR="00D7311F">
        <w:t xml:space="preserve">to clarify the record as to the technical mechanisms that might be abused </w:t>
      </w:r>
      <w:r>
        <w:t xml:space="preserve">by ISPs </w:t>
      </w:r>
      <w:r w:rsidR="00D7311F">
        <w:t xml:space="preserve">for this </w:t>
      </w:r>
      <w:r>
        <w:t>for anti-competitive purposes and monopoly rent-seeking. Note that they concur with the comments of the Internet Engineers. We reiterate them here.</w:t>
      </w:r>
    </w:p>
    <w:p w:rsidR="00D7311F" w:rsidRDefault="00D7311F" w:rsidP="00CB22A8">
      <w:pPr>
        <w:pStyle w:val="Heading2"/>
      </w:pPr>
      <w:bookmarkStart w:id="9" w:name="_Toc491855587"/>
      <w:r>
        <w:t>Packet Forwarding</w:t>
      </w:r>
      <w:bookmarkEnd w:id="9"/>
    </w:p>
    <w:p w:rsidR="00D7311F" w:rsidRDefault="00D7311F" w:rsidP="00085017">
      <w:r>
        <w:t xml:space="preserve">The Internet’s architecture requires that each router along the path from source to destination to undertake a </w:t>
      </w:r>
      <w:r w:rsidR="00421252">
        <w:t xml:space="preserve">prescribed </w:t>
      </w:r>
      <w:r>
        <w:t>series of steps</w:t>
      </w:r>
      <w:r>
        <w:rPr>
          <w:rStyle w:val="FootnoteReference"/>
        </w:rPr>
        <w:footnoteReference w:id="6"/>
      </w:r>
      <w:r w:rsidR="00421252">
        <w:t xml:space="preserve">, some of them mandatory and some optional, </w:t>
      </w:r>
      <w:r>
        <w:t>to forward packets.    Of particular interest are:</w:t>
      </w:r>
    </w:p>
    <w:p w:rsidR="00D7311F" w:rsidRDefault="00D7311F" w:rsidP="00085017">
      <w:pPr>
        <w:pStyle w:val="ListParagraph"/>
        <w:numPr>
          <w:ilvl w:val="0"/>
          <w:numId w:val="22"/>
        </w:numPr>
      </w:pPr>
      <w:r>
        <w:t>Classification of individual packets by fields in the packet headers, including IP Source and Destination Address, Protocol, Differentiated Services Code Point, and Port Number.  Classifiers match to patterns of Bool</w:t>
      </w:r>
      <w:r w:rsidR="00980C5B">
        <w:t>ean strings within these fields.</w:t>
      </w:r>
      <w:r>
        <w:t xml:space="preserve">   Further classification using application data, or deep packet inspection (DPI) is also used.  </w:t>
      </w:r>
      <w:r w:rsidR="00871D81">
        <w:t xml:space="preserve">A classifier database contains a set of patterns, and for each pattern, an outgoing link and a set of </w:t>
      </w:r>
      <w:r>
        <w:t>one or more action to be taken by the router</w:t>
      </w:r>
      <w:r w:rsidR="00200A09">
        <w:t xml:space="preserve"> upon packets that match the pattern</w:t>
      </w:r>
      <w:r>
        <w:t>.</w:t>
      </w:r>
    </w:p>
    <w:p w:rsidR="00D7311F" w:rsidRDefault="00D7311F" w:rsidP="00085017">
      <w:pPr>
        <w:pStyle w:val="ListParagraph"/>
        <w:numPr>
          <w:ilvl w:val="0"/>
          <w:numId w:val="22"/>
        </w:numPr>
      </w:pPr>
      <w:r>
        <w:t xml:space="preserve">Identification of flows of packets, based upon results of classification.  </w:t>
      </w:r>
      <w:r w:rsidR="00871D81">
        <w:t xml:space="preserve">  A flow is a series of packets from a source to a destination which are inferred to be related to a single or aggregated instance of communication.</w:t>
      </w:r>
      <w:r w:rsidR="00980C5B">
        <w:t xml:space="preserve"> </w:t>
      </w:r>
    </w:p>
    <w:p w:rsidR="00D7311F" w:rsidRDefault="00D7311F" w:rsidP="00085017">
      <w:pPr>
        <w:pStyle w:val="ListParagraph"/>
        <w:numPr>
          <w:ilvl w:val="0"/>
          <w:numId w:val="22"/>
        </w:numPr>
      </w:pPr>
      <w:r>
        <w:t xml:space="preserve">Traffic conditioning of flows (or groups of flows).  Traffic conditioning can take the form of rate shaping (i.e., retaining packets when the flow exceeds a configured rate, and metering them out according to that rate), rate policing (i.e., discarding packets when a flow exceeds a configured rate) or metering (i.e., passively measuring the rate of each flow).  </w:t>
      </w:r>
      <w:r w:rsidR="00980C5B">
        <w:t>R</w:t>
      </w:r>
      <w:r>
        <w:t>ate shaping d</w:t>
      </w:r>
      <w:r w:rsidR="00980C5B">
        <w:t xml:space="preserve">evolves to rate policing when </w:t>
      </w:r>
      <w:r>
        <w:t>the number of retained packets reaches a configured limit.</w:t>
      </w:r>
    </w:p>
    <w:p w:rsidR="00D7311F" w:rsidRDefault="00D7311F" w:rsidP="00085017">
      <w:pPr>
        <w:pStyle w:val="ListParagraph"/>
        <w:numPr>
          <w:ilvl w:val="0"/>
          <w:numId w:val="22"/>
        </w:numPr>
      </w:pPr>
      <w:r>
        <w:t xml:space="preserve">Queueing of packets based on classification and/or flow identity.  As they are received (i.e. before classification), packets are stored in data structures called “buffers”.  Buffers are further organized into first-in, first-out (FIFO) queues.  A router typically has several queues at the input and/or output of each interface.  Each buffer is added to a queue, typically based upon packet classification results.  </w:t>
      </w:r>
    </w:p>
    <w:p w:rsidR="00D7311F" w:rsidRDefault="00D7311F" w:rsidP="00085017">
      <w:pPr>
        <w:pStyle w:val="ListParagraph"/>
        <w:numPr>
          <w:ilvl w:val="0"/>
          <w:numId w:val="22"/>
        </w:numPr>
      </w:pPr>
      <w:r>
        <w:t>Packet discard.  Routers (and their component modules) can buffer a finite number of packets.  When packet arrivals exceed packet departures the router must discard some packets; i.e., by returning packet buffers to the free buffer pool.  Discard is normal, even desirable, behavior</w:t>
      </w:r>
      <w:r>
        <w:rPr>
          <w:rStyle w:val="FootnoteReference"/>
        </w:rPr>
        <w:footnoteReference w:id="7"/>
      </w:r>
      <w:r>
        <w:t>.  In particular, it is used by the TCP protocol</w:t>
      </w:r>
      <w:r w:rsidR="00980C5B">
        <w:t xml:space="preserve"> as a congestion signal for</w:t>
      </w:r>
      <w:r>
        <w:t xml:space="preserve"> end-to-end rate control.  For this reason, current best practice is to discard packets pro-actively</w:t>
      </w:r>
      <w:r>
        <w:rPr>
          <w:rStyle w:val="FootnoteReference"/>
        </w:rPr>
        <w:footnoteReference w:id="8"/>
      </w:r>
      <w:r>
        <w:t>, in advance of severe congestion.  Strategies for doing so are complex, and small changes to discard algorithms or their parameters can have a significant effect on congestion.</w:t>
      </w:r>
    </w:p>
    <w:p w:rsidR="00D7311F" w:rsidRDefault="00D7311F" w:rsidP="00085017">
      <w:pPr>
        <w:pStyle w:val="ListParagraph"/>
        <w:numPr>
          <w:ilvl w:val="0"/>
          <w:numId w:val="22"/>
        </w:numPr>
      </w:pPr>
      <w:r>
        <w:t>Packet scheduling.  When an outgoing link becomes idle, the router must select which queue to service next.  Service consists of removing a packet buffer from the selected queue, serializing it, and transmitting the resulting bit stream over the link.  Scheduling disciplines are typically sophisticated</w:t>
      </w:r>
      <w:r>
        <w:rPr>
          <w:rStyle w:val="FootnoteReference"/>
        </w:rPr>
        <w:footnoteReference w:id="9"/>
      </w:r>
      <w:r>
        <w:t>, and are configured by the broadband provider in order to effectuate various objectives.</w:t>
      </w:r>
      <w:r w:rsidR="004B21CA">
        <w:t xml:space="preserve">    In addition, a scheduler can also serve as a traffic shaper.  </w:t>
      </w:r>
    </w:p>
    <w:p w:rsidR="00D7311F" w:rsidRDefault="00D7311F" w:rsidP="00085017">
      <w:pPr>
        <w:pStyle w:val="ListParagraph"/>
        <w:numPr>
          <w:ilvl w:val="0"/>
          <w:numId w:val="22"/>
        </w:numPr>
      </w:pPr>
      <w:r>
        <w:t>Packet marking.  Internet Protocol (IP</w:t>
      </w:r>
      <w:r w:rsidR="00A267C6">
        <w:t xml:space="preserve">) </w:t>
      </w:r>
      <w:r>
        <w:rPr>
          <w:rStyle w:val="FootnoteReference"/>
        </w:rPr>
        <w:footnoteReference w:id="10"/>
      </w:r>
      <w:r w:rsidR="00A267C6">
        <w:t xml:space="preserve"> </w:t>
      </w:r>
      <w:r>
        <w:t xml:space="preserve">packet headers contain a field called the “Differentiated Services </w:t>
      </w:r>
      <w:r w:rsidR="004B21CA">
        <w:t>Code Point</w:t>
      </w:r>
      <w:r>
        <w:t>”</w:t>
      </w:r>
      <w:r w:rsidR="004B21CA">
        <w:t xml:space="preserve"> (DSCP)</w:t>
      </w:r>
      <w:r>
        <w:rPr>
          <w:rStyle w:val="FootnoteReference"/>
        </w:rPr>
        <w:footnoteReference w:id="11"/>
      </w:r>
      <w:r>
        <w:t>, and another field called “Explicit Congestion Notification”</w:t>
      </w:r>
      <w:r w:rsidR="004B21CA">
        <w:t>(ECN)</w:t>
      </w:r>
      <w:r>
        <w:rPr>
          <w:rStyle w:val="FootnoteReference"/>
        </w:rPr>
        <w:footnoteReference w:id="12"/>
      </w:r>
      <w:r>
        <w:t xml:space="preserve">.  The former is used to alter the match and action of packet classifiers.  The latter is used as a secondary network congestion signal, to be used by TCP’s congestion management mechanisms.  A router may alter these fields, based on packet classification, queue occupancy and/or traffic conditioning.  </w:t>
      </w:r>
      <w:r w:rsidR="00980C5B">
        <w:t>The altered</w:t>
      </w:r>
      <w:r>
        <w:t xml:space="preserve"> DSCP field</w:t>
      </w:r>
      <w:r w:rsidR="00980C5B">
        <w:t xml:space="preserve"> is seen by classifiers in </w:t>
      </w:r>
      <w:r w:rsidR="00980C5B" w:rsidRPr="00980C5B">
        <w:t>subsequent routers along the path</w:t>
      </w:r>
      <w:r w:rsidR="00DD6987">
        <w:t xml:space="preserve">.  </w:t>
      </w:r>
      <w:r w:rsidR="00980C5B">
        <w:t xml:space="preserve"> </w:t>
      </w:r>
      <w:r w:rsidR="00DD6987">
        <w:t>Thus, when a router alters the DSCP field, it changes</w:t>
      </w:r>
      <w:r w:rsidR="00980C5B">
        <w:t xml:space="preserve"> forwarding actions </w:t>
      </w:r>
      <w:r w:rsidR="00980C5B" w:rsidRPr="00980C5B">
        <w:t>(e.g., different queueing or discard policies)</w:t>
      </w:r>
      <w:r w:rsidR="00980C5B">
        <w:t xml:space="preserve"> </w:t>
      </w:r>
      <w:r w:rsidR="00DD6987">
        <w:t>along the remainder of the path</w:t>
      </w:r>
      <w:r>
        <w:t xml:space="preserve">.  </w:t>
      </w:r>
      <w:r w:rsidR="00200A09">
        <w:t>When a router alters the</w:t>
      </w:r>
      <w:r w:rsidR="00DD6987">
        <w:t xml:space="preserve"> ECN field</w:t>
      </w:r>
      <w:r w:rsidR="00200A09">
        <w:t>, the rate of the flow is expected to be reduced</w:t>
      </w:r>
      <w:r w:rsidR="00250F2A">
        <w:t xml:space="preserve">. [Note that the </w:t>
      </w:r>
      <w:r w:rsidR="00250F2A" w:rsidRPr="00250F2A">
        <w:rPr>
          <w:i/>
        </w:rPr>
        <w:t>Joint Comments</w:t>
      </w:r>
      <w:r w:rsidR="00250F2A">
        <w:t xml:space="preserve"> doubt that these capabilities are widely deployed in the public Internet.]</w:t>
      </w:r>
    </w:p>
    <w:p w:rsidR="00CB0BDB" w:rsidRDefault="00D7311F" w:rsidP="00085017">
      <w:r>
        <w:t>All of these mechanisms are indispensable for</w:t>
      </w:r>
      <w:r w:rsidR="00B4347F">
        <w:t xml:space="preserve"> network function or</w:t>
      </w:r>
      <w:r>
        <w:t xml:space="preserve"> reasonable network management.  </w:t>
      </w:r>
    </w:p>
    <w:p w:rsidR="00CB0BDB" w:rsidRDefault="00D7311F" w:rsidP="00085017">
      <w:pPr>
        <w:pStyle w:val="ListParagraph"/>
        <w:numPr>
          <w:ilvl w:val="0"/>
          <w:numId w:val="36"/>
        </w:numPr>
      </w:pPr>
      <w:r>
        <w:t>Classification and sometimes</w:t>
      </w:r>
      <w:r w:rsidR="00B4347F">
        <w:t xml:space="preserve"> flow</w:t>
      </w:r>
      <w:r>
        <w:t xml:space="preserve"> identification are needed in order to determine which actions must be taken on a packet, and to determine the “next hop” link over which the packet is to be forwarded.  </w:t>
      </w:r>
    </w:p>
    <w:p w:rsidR="00CB0BDB" w:rsidRDefault="00D7311F" w:rsidP="00085017">
      <w:pPr>
        <w:pStyle w:val="ListParagraph"/>
        <w:numPr>
          <w:ilvl w:val="0"/>
          <w:numId w:val="36"/>
        </w:numPr>
      </w:pPr>
      <w:r>
        <w:t xml:space="preserve">Traffic conditioning is used in conjunction with queueing and scheduling in order to effect bandwidth allocation (as we describe below).  </w:t>
      </w:r>
      <w:r w:rsidR="00200A09">
        <w:t xml:space="preserve">It is </w:t>
      </w:r>
      <w:r w:rsidR="00FF12D6">
        <w:t xml:space="preserve">also used to enforce rate caps, </w:t>
      </w:r>
      <w:r>
        <w:t>for congestion management</w:t>
      </w:r>
      <w:r>
        <w:rPr>
          <w:rStyle w:val="FootnoteReference"/>
        </w:rPr>
        <w:footnoteReference w:id="13"/>
      </w:r>
      <w:r w:rsidR="00CB0BDB">
        <w:t xml:space="preserve"> and defense against certain kinds of attacks.</w:t>
      </w:r>
      <w:r>
        <w:t xml:space="preserve"> </w:t>
      </w:r>
      <w:r w:rsidR="00220D01">
        <w:t xml:space="preserve"> </w:t>
      </w:r>
    </w:p>
    <w:p w:rsidR="00CB0BDB" w:rsidRDefault="00D7311F" w:rsidP="00085017">
      <w:pPr>
        <w:pStyle w:val="ListParagraph"/>
        <w:numPr>
          <w:ilvl w:val="0"/>
          <w:numId w:val="36"/>
        </w:numPr>
      </w:pPr>
      <w:r>
        <w:t xml:space="preserve">Queuing provides for in-order transmission of packets, </w:t>
      </w:r>
      <w:r w:rsidR="004B21CA">
        <w:t xml:space="preserve">for fairness between flows, </w:t>
      </w:r>
      <w:r>
        <w:t xml:space="preserve">and for management of bandwidth.  </w:t>
      </w:r>
    </w:p>
    <w:p w:rsidR="00CB0BDB" w:rsidRDefault="00D7311F" w:rsidP="00085017">
      <w:pPr>
        <w:pStyle w:val="ListParagraph"/>
        <w:numPr>
          <w:ilvl w:val="0"/>
          <w:numId w:val="36"/>
        </w:numPr>
      </w:pPr>
      <w:r>
        <w:t xml:space="preserve">Discard protects the router’s buffer resources against overload, and is the primary congestion signal used by TCP to adjust its rate.  </w:t>
      </w:r>
    </w:p>
    <w:p w:rsidR="00D7311F" w:rsidRDefault="00D7311F" w:rsidP="00085017">
      <w:pPr>
        <w:pStyle w:val="ListParagraph"/>
        <w:numPr>
          <w:ilvl w:val="0"/>
          <w:numId w:val="36"/>
        </w:numPr>
      </w:pPr>
      <w:r>
        <w:t>Marking simplifies packet classification at subsequent routers, and effects tr</w:t>
      </w:r>
      <w:r w:rsidR="00CB0BDB">
        <w:t xml:space="preserve">affic management for particular </w:t>
      </w:r>
      <w:r>
        <w:t>flows.</w:t>
      </w:r>
    </w:p>
    <w:p w:rsidR="00CB0BDB" w:rsidRDefault="00D7311F" w:rsidP="00085017">
      <w:r w:rsidRPr="00D7311F">
        <w:t>All of these mechanisms</w:t>
      </w:r>
      <w:r>
        <w:t xml:space="preserve"> can also </w:t>
      </w:r>
      <w:r w:rsidR="00FF12D6">
        <w:t>be abused, to the detriment of O</w:t>
      </w:r>
      <w:r>
        <w:t xml:space="preserve">pen Internet principles.  </w:t>
      </w:r>
    </w:p>
    <w:p w:rsidR="00CB0BDB" w:rsidRDefault="00FF12D6" w:rsidP="00085017">
      <w:pPr>
        <w:pStyle w:val="ListParagraph"/>
        <w:numPr>
          <w:ilvl w:val="0"/>
          <w:numId w:val="37"/>
        </w:numPr>
      </w:pPr>
      <w:r>
        <w:t>Packet c</w:t>
      </w:r>
      <w:r w:rsidR="00D7311F" w:rsidRPr="00D7311F">
        <w:t xml:space="preserve">lassification and sometimes </w:t>
      </w:r>
      <w:r>
        <w:t xml:space="preserve">flow </w:t>
      </w:r>
      <w:r w:rsidR="00D7311F" w:rsidRPr="00D7311F">
        <w:t xml:space="preserve">identification are </w:t>
      </w:r>
      <w:r w:rsidR="00D7311F">
        <w:t xml:space="preserve">necessary precursors to discrimination against (or in favor of) certain packets or flows.   </w:t>
      </w:r>
      <w:r w:rsidR="00D7311F" w:rsidRPr="00D7311F">
        <w:t xml:space="preserve"> </w:t>
      </w:r>
    </w:p>
    <w:p w:rsidR="00CB0BDB" w:rsidRDefault="00D7311F" w:rsidP="00085017">
      <w:pPr>
        <w:pStyle w:val="ListParagraph"/>
        <w:numPr>
          <w:ilvl w:val="0"/>
          <w:numId w:val="37"/>
        </w:numPr>
      </w:pPr>
      <w:r w:rsidRPr="00D7311F">
        <w:t xml:space="preserve">Traffic conditioning </w:t>
      </w:r>
      <w:r>
        <w:t>can be ab</w:t>
      </w:r>
      <w:r w:rsidRPr="00D7311F">
        <w:t>used</w:t>
      </w:r>
      <w:r>
        <w:t>, possibly</w:t>
      </w:r>
      <w:r w:rsidRPr="00D7311F">
        <w:t xml:space="preserve"> in conjunction with queueing and scheduling</w:t>
      </w:r>
      <w:r>
        <w:t xml:space="preserve">, to throttle disfavored flows.  </w:t>
      </w:r>
      <w:r w:rsidRPr="00D7311F">
        <w:t xml:space="preserve">  </w:t>
      </w:r>
    </w:p>
    <w:p w:rsidR="00CB0BDB" w:rsidRDefault="00D7311F" w:rsidP="00085017">
      <w:pPr>
        <w:pStyle w:val="ListParagraph"/>
        <w:numPr>
          <w:ilvl w:val="0"/>
          <w:numId w:val="37"/>
        </w:numPr>
      </w:pPr>
      <w:r>
        <w:t>Special advantaged or disadvantaged queues can be configured for discriminatory treatment.</w:t>
      </w:r>
    </w:p>
    <w:p w:rsidR="00CB0BDB" w:rsidRDefault="00D7311F" w:rsidP="00085017">
      <w:pPr>
        <w:pStyle w:val="ListParagraph"/>
        <w:numPr>
          <w:ilvl w:val="0"/>
          <w:numId w:val="37"/>
        </w:numPr>
      </w:pPr>
      <w:r>
        <w:t xml:space="preserve">Packet discard can be used unfairly to favor or disfavor specific flows through TCP’s congestion avoidance mechanism.  </w:t>
      </w:r>
    </w:p>
    <w:p w:rsidR="00D7311F" w:rsidRDefault="00D7311F" w:rsidP="00085017">
      <w:pPr>
        <w:pStyle w:val="ListParagraph"/>
        <w:numPr>
          <w:ilvl w:val="0"/>
          <w:numId w:val="37"/>
        </w:numPr>
      </w:pPr>
      <w:r>
        <w:t>DSCP m</w:t>
      </w:r>
      <w:r w:rsidRPr="00D7311F">
        <w:t xml:space="preserve">arking </w:t>
      </w:r>
      <w:r>
        <w:t>can be used to indicate favored or disfavored flows, and ECN marking can be used to effect TCP congestion avoidance for disfavored flows</w:t>
      </w:r>
      <w:r w:rsidRPr="00D7311F">
        <w:t>.</w:t>
      </w:r>
    </w:p>
    <w:p w:rsidR="00F64442" w:rsidRDefault="00F64442" w:rsidP="00CB22A8">
      <w:pPr>
        <w:pStyle w:val="Heading2"/>
      </w:pPr>
      <w:bookmarkStart w:id="10" w:name="_Toc491855588"/>
      <w:r>
        <w:t>Bandwidth Reservation and Admission Control</w:t>
      </w:r>
      <w:bookmarkEnd w:id="10"/>
    </w:p>
    <w:p w:rsidR="00F64442" w:rsidRDefault="00F64442" w:rsidP="00B4347F">
      <w:r>
        <w:t xml:space="preserve">The Best Effort service </w:t>
      </w:r>
      <w:r w:rsidR="00B4347F">
        <w:t xml:space="preserve">is </w:t>
      </w:r>
      <w:r w:rsidR="0004472A">
        <w:t>based on</w:t>
      </w:r>
      <w:r w:rsidR="00B4347F">
        <w:t xml:space="preserve"> cooperative sharing</w:t>
      </w:r>
      <w:r w:rsidR="0004472A">
        <w:t xml:space="preserve"> of resources</w:t>
      </w:r>
      <w:r w:rsidR="00B4347F">
        <w:t>.  Packet flows start and end without explicit notification to, or permission from, the network.  They are assumed to adjust their rates according to TCP’s slow start and congestion avoidance mechanisms</w:t>
      </w:r>
      <w:r w:rsidR="0004472A">
        <w:t>, based on presence or absence of congestion signals</w:t>
      </w:r>
      <w:r w:rsidR="00B4347F">
        <w:t xml:space="preserve">.  This behavior gives each flow an approximately fair share of the capacity of the bottleneck link.  </w:t>
      </w:r>
      <w:r w:rsidR="0004472A">
        <w:t>R</w:t>
      </w:r>
      <w:r w:rsidR="0004472A" w:rsidRPr="0004472A">
        <w:t xml:space="preserve">ate adjustment </w:t>
      </w:r>
      <w:r w:rsidR="0004472A">
        <w:t xml:space="preserve">in response to congestion signaling </w:t>
      </w:r>
      <w:r w:rsidR="00327DDE">
        <w:t xml:space="preserve">is a form of closed loop control.  </w:t>
      </w:r>
      <w:r w:rsidR="00B4347F">
        <w:t xml:space="preserve"> No capacity is reserved</w:t>
      </w:r>
      <w:r w:rsidR="0004472A">
        <w:t xml:space="preserve"> for a Best E</w:t>
      </w:r>
      <w:r w:rsidR="00CA3B49">
        <w:t xml:space="preserve">ffort flow; </w:t>
      </w:r>
      <w:r w:rsidR="00B4347F">
        <w:t>it takes what it</w:t>
      </w:r>
      <w:r w:rsidR="00327DDE">
        <w:t xml:space="preserve"> gets.</w:t>
      </w:r>
    </w:p>
    <w:p w:rsidR="00327DDE" w:rsidRDefault="00327DDE" w:rsidP="00B4347F">
      <w:r>
        <w:t>Services that rely, wholly</w:t>
      </w:r>
      <w:r w:rsidR="00CA3B49">
        <w:t xml:space="preserve"> or partly</w:t>
      </w:r>
      <w:r>
        <w:t>, upon open loop</w:t>
      </w:r>
      <w:r w:rsidR="00CA3B49">
        <w:t xml:space="preserve"> control have different mechanisms for resource sharing.  Capacity (or “bandwidth”) is reserved</w:t>
      </w:r>
      <w:r w:rsidR="0004472A">
        <w:t>.  Reservation can be dynamic, using a signaling protocol such as RSVP</w:t>
      </w:r>
      <w:r w:rsidR="0004472A">
        <w:rPr>
          <w:rStyle w:val="FootnoteReference"/>
        </w:rPr>
        <w:footnoteReference w:id="14"/>
      </w:r>
      <w:r w:rsidR="00CA3B49">
        <w:t xml:space="preserve"> </w:t>
      </w:r>
      <w:r w:rsidR="0004472A">
        <w:t xml:space="preserve">to negotiate bandwidth </w:t>
      </w:r>
      <w:r w:rsidR="00CA3B49">
        <w:t>at t</w:t>
      </w:r>
      <w:r w:rsidR="0004472A">
        <w:t>he start of a flow, and release it</w:t>
      </w:r>
      <w:r w:rsidR="00CA3B49">
        <w:t xml:space="preserve"> at the end. </w:t>
      </w:r>
      <w:r w:rsidR="0004472A">
        <w:t>It can also be static.</w:t>
      </w:r>
      <w:r w:rsidR="00CA3B49">
        <w:t xml:space="preserve"> Reservation typically means preferential, rather than exclusive, access to capacity.  If a flow is not using </w:t>
      </w:r>
      <w:r w:rsidR="0004472A">
        <w:t xml:space="preserve">all of </w:t>
      </w:r>
      <w:r w:rsidR="00CA3B49">
        <w:t xml:space="preserve">its reserved bandwidth, </w:t>
      </w:r>
      <w:r w:rsidR="0004472A">
        <w:t>the</w:t>
      </w:r>
      <w:r w:rsidR="00CA3B49">
        <w:t xml:space="preserve"> unused capacity is available for other flows.  Open loop controlled flows </w:t>
      </w:r>
      <w:r w:rsidR="0004472A">
        <w:t>are defined by</w:t>
      </w:r>
      <w:r w:rsidR="00C03EE0">
        <w:t xml:space="preserve"> a traffic specification (TSpec) which characterizes the flow’s rate.  A</w:t>
      </w:r>
      <w:r w:rsidR="00CA3B49">
        <w:t xml:space="preserve"> traf</w:t>
      </w:r>
      <w:r w:rsidR="00C03EE0">
        <w:t xml:space="preserve">fic conditioner enforces compliance with the TSpec, delaying, dropping or marking packets in excess of the agreed rate. </w:t>
      </w:r>
      <w:r w:rsidR="00CA3B49">
        <w:t xml:space="preserve"> </w:t>
      </w:r>
      <w:r w:rsidR="00C03EE0">
        <w:t>The reserved bandwidth is a function of the TSpec</w:t>
      </w:r>
      <w:r w:rsidR="00CA3B49">
        <w:t>.  Some services allow a flow to h</w:t>
      </w:r>
      <w:r w:rsidR="00C03EE0">
        <w:t>ave a reserved component and a Best E</w:t>
      </w:r>
      <w:r w:rsidR="00CA3B49">
        <w:t>ffort component.</w:t>
      </w:r>
    </w:p>
    <w:p w:rsidR="00CA3B49" w:rsidRDefault="00CA3B49" w:rsidP="00B4347F">
      <w:r>
        <w:t xml:space="preserve">The sum of reservations at each resource must not exceed the capacity of that resource.  </w:t>
      </w:r>
      <w:r w:rsidR="00C03EE0">
        <w:t>The admission control functio</w:t>
      </w:r>
      <w:r w:rsidR="00A46576">
        <w:t>n performs bandwidth reservation</w:t>
      </w:r>
      <w:r w:rsidR="00A46576">
        <w:rPr>
          <w:rStyle w:val="FootnoteReference"/>
        </w:rPr>
        <w:footnoteReference w:id="15"/>
      </w:r>
      <w:r w:rsidR="00C03EE0">
        <w:t xml:space="preserve">, </w:t>
      </w:r>
      <w:r w:rsidR="00A46576">
        <w:t>only if</w:t>
      </w:r>
      <w:r w:rsidR="00C03EE0">
        <w:t xml:space="preserve"> sufficient capacity is </w:t>
      </w:r>
      <w:r w:rsidR="00A46576">
        <w:t>available; otherwise</w:t>
      </w:r>
      <w:r w:rsidR="00C03EE0">
        <w:t xml:space="preserve"> the network must </w:t>
      </w:r>
      <w:r w:rsidR="00FF12D6">
        <w:t>deny</w:t>
      </w:r>
      <w:r w:rsidR="00C03EE0">
        <w:t xml:space="preserve"> the flow.  The flow might proceed as Best Effort, or it might be blocked.  </w:t>
      </w:r>
    </w:p>
    <w:p w:rsidR="00F34F88" w:rsidRDefault="00F34F88" w:rsidP="00B4347F">
      <w:r>
        <w:t xml:space="preserve">These flows coexist with Best Effort flows.  Typically, a network engineer will allocate a pool of capacity </w:t>
      </w:r>
      <w:r w:rsidR="00A46576">
        <w:t>to be shared</w:t>
      </w:r>
      <w:r>
        <w:t xml:space="preserve"> </w:t>
      </w:r>
      <w:r w:rsidR="00A46576">
        <w:t>by all</w:t>
      </w:r>
      <w:r>
        <w:t xml:space="preserve"> Best Effort</w:t>
      </w:r>
      <w:r w:rsidR="00A46576">
        <w:t xml:space="preserve"> flows</w:t>
      </w:r>
      <w:r>
        <w:t xml:space="preserve">.  The capacity in this pool is not available for reservations.  Best effort flows share that pool, along with any capacity that has been reserved </w:t>
      </w:r>
      <w:r w:rsidR="00A46576">
        <w:t>but</w:t>
      </w:r>
      <w:r>
        <w:t xml:space="preserve"> not in use.  </w:t>
      </w:r>
      <w:r w:rsidR="00A46576">
        <w:t xml:space="preserve">The capacity of the Best Effort pool </w:t>
      </w:r>
      <w:r w:rsidR="008628E2">
        <w:t>must</w:t>
      </w:r>
      <w:r>
        <w:t xml:space="preserve"> </w:t>
      </w:r>
      <w:r w:rsidR="00A46576">
        <w:t xml:space="preserve">be </w:t>
      </w:r>
      <w:r>
        <w:t>sufficient to</w:t>
      </w:r>
      <w:r w:rsidR="008628E2">
        <w:t xml:space="preserve"> meet</w:t>
      </w:r>
      <w:r>
        <w:t xml:space="preserve"> acceptable performance</w:t>
      </w:r>
      <w:r w:rsidR="008628E2">
        <w:t xml:space="preserve"> targets for</w:t>
      </w:r>
      <w:r>
        <w:t xml:space="preserve"> Best Effort traffic.</w:t>
      </w:r>
    </w:p>
    <w:p w:rsidR="00F64442" w:rsidRPr="00F64442" w:rsidRDefault="00C03EE0" w:rsidP="00BB536C">
      <w:r>
        <w:t xml:space="preserve">As we describe below, there are numerous valid reasons for </w:t>
      </w:r>
      <w:r w:rsidR="00F34F88">
        <w:t xml:space="preserve">open loop controls in addition to closed loop controls.   Thus, bandwidth reservation and admission control are needed in order to offer services other than Best Effort.  They also are subject to anti-competitive and anti-consumer abuse by broadband providers.  </w:t>
      </w:r>
      <w:r w:rsidR="00545D0B">
        <w:t xml:space="preserve">If </w:t>
      </w:r>
      <w:r w:rsidR="00BB536C">
        <w:t xml:space="preserve">flat-rate charging applies for Best Effort service, and </w:t>
      </w:r>
      <w:r w:rsidR="008628E2">
        <w:t>additional pricing</w:t>
      </w:r>
      <w:r w:rsidR="00BB536C">
        <w:t xml:space="preserve"> applies for other services, broadband providers are incented</w:t>
      </w:r>
      <w:r w:rsidR="00545D0B">
        <w:t xml:space="preserve"> </w:t>
      </w:r>
      <w:r w:rsidR="008628E2">
        <w:t xml:space="preserve">to minimize </w:t>
      </w:r>
      <w:r w:rsidR="00BB536C">
        <w:t xml:space="preserve">the Best Effort pool.  </w:t>
      </w:r>
      <w:r w:rsidR="00545D0B">
        <w:t xml:space="preserve"> </w:t>
      </w:r>
      <w:r w:rsidR="00BB536C">
        <w:t>This has the effect of st</w:t>
      </w:r>
      <w:r w:rsidR="008628E2">
        <w:t>arving Best Effort flows.  This is the technical substance of the feared</w:t>
      </w:r>
      <w:r w:rsidR="00BB536C">
        <w:t xml:space="preserve"> “fast lanes”.   Admission control is subject to commercially unreasonable discrimination, such as giving precedence</w:t>
      </w:r>
      <w:r w:rsidR="008628E2">
        <w:t xml:space="preserve"> to admission of favored flows (</w:t>
      </w:r>
      <w:r w:rsidR="00BB536C">
        <w:t>e.g., from an affiliated entity</w:t>
      </w:r>
      <w:r w:rsidR="008628E2">
        <w:t>) or denying access to non-favored flows</w:t>
      </w:r>
      <w:r w:rsidR="00BB536C">
        <w:t xml:space="preserve">.  </w:t>
      </w:r>
    </w:p>
    <w:p w:rsidR="00D7311F" w:rsidRDefault="00D7311F" w:rsidP="00CB22A8">
      <w:pPr>
        <w:pStyle w:val="Heading2"/>
      </w:pPr>
      <w:bookmarkStart w:id="11" w:name="_Toc491855589"/>
      <w:r>
        <w:t>Domain Name Service</w:t>
      </w:r>
      <w:bookmarkEnd w:id="11"/>
    </w:p>
    <w:p w:rsidR="00D7311F" w:rsidRDefault="00D7311F" w:rsidP="00D7311F">
      <w:r>
        <w:t xml:space="preserve">The Internet’s Domain Name Service (DNS) resolves human-usable domain names (e.g., “fcc.gov”) into IP addresses (e.g., 192.52.94.5).  It allows applications to use human-friendly, topology independent names, while the network infrastructure operates on machine-friendly, topology dependent addresses.  It also allows content to be location independent.   </w:t>
      </w:r>
    </w:p>
    <w:p w:rsidR="00D7311F" w:rsidRDefault="00D7311F" w:rsidP="00D7311F">
      <w:r>
        <w:t xml:space="preserve">DNS is a distributed database system, comprised of “name servers”.  It is the only part of the Internet’s architecture that is hierarchical, rather than peer-to-peer in structure.   The database need not be consistent:  a name frequently resolves to different addresses, depending on which name server is queried.  </w:t>
      </w:r>
    </w:p>
    <w:p w:rsidR="00D7311F" w:rsidRDefault="00D7311F" w:rsidP="00D7311F">
      <w:r>
        <w:t>DNS is an impor</w:t>
      </w:r>
      <w:r w:rsidR="00220D01">
        <w:t xml:space="preserve">tant service provided by ISPs; </w:t>
      </w:r>
      <w:r>
        <w:t xml:space="preserve">in light of </w:t>
      </w:r>
      <w:r w:rsidRPr="00D7311F">
        <w:rPr>
          <w:i/>
        </w:rPr>
        <w:t>Brand X</w:t>
      </w:r>
      <w:r>
        <w:t>, this includes broadband providers.  Typic</w:t>
      </w:r>
      <w:r w:rsidR="00220D01">
        <w:t>ally, when a consumer device connects to its local network</w:t>
      </w:r>
      <w:r>
        <w:t>, it uses the Dynamic Host Configuration Protocol (DHCP) to obtain the IP address of a local primary and secondary Name Server</w:t>
      </w:r>
      <w:r w:rsidR="00220D01">
        <w:t>.  The source of this information is the broadband provider’s DHCP server (or its proxy), which provides the addresses of the broadband provider’ DNS server (or a proxy).  As a result, unless the user configures their device to use a different DNS server, name resolution is controlled by the broadband service provider.</w:t>
      </w:r>
      <w:r>
        <w:t xml:space="preserve"> </w:t>
      </w:r>
    </w:p>
    <w:p w:rsidR="00D7311F" w:rsidRDefault="00D7311F" w:rsidP="00D7311F">
      <w:r>
        <w:t xml:space="preserve">The flexibility of DNS is extremely valuable to the Internet’s operation.   In particular, content distribution networks (CDNs) use DNS to resolve the name of a content resource to the most optimal server that has that content.  However, this flexibility can also be abused by ISPs to redirect user queries to their own services and content.  </w:t>
      </w:r>
      <w:r w:rsidR="00220D01">
        <w:t>Further, the largest broadband provider ISPs</w:t>
      </w:r>
      <w:r w:rsidR="00220D01">
        <w:rPr>
          <w:rStyle w:val="FootnoteReference"/>
        </w:rPr>
        <w:footnoteReference w:id="16"/>
      </w:r>
      <w:r w:rsidR="00220D01">
        <w:t xml:space="preserve"> have recently entered the CDN market, and thus compete with i</w:t>
      </w:r>
      <w:r w:rsidR="007D5D9C">
        <w:t xml:space="preserve">ndependent CDN providers.  This might be an incentive to </w:t>
      </w:r>
      <w:r w:rsidR="009A756B">
        <w:t>improperly modify databases in their DNS servers</w:t>
      </w:r>
      <w:r w:rsidR="007D5D9C">
        <w:t xml:space="preserve">.   </w:t>
      </w:r>
    </w:p>
    <w:p w:rsidR="00D7311F" w:rsidRDefault="00D7311F" w:rsidP="00CB22A8">
      <w:pPr>
        <w:pStyle w:val="Heading2"/>
      </w:pPr>
      <w:bookmarkStart w:id="12" w:name="_Toc491855590"/>
      <w:r>
        <w:t>Routing</w:t>
      </w:r>
      <w:bookmarkEnd w:id="12"/>
    </w:p>
    <w:p w:rsidR="00D7311F" w:rsidRDefault="00D7311F" w:rsidP="00D7311F">
      <w:r>
        <w:t xml:space="preserve">The Internet’s routing system distributes topology information, which is used by each router to create a “forwarding database”.  The forwarding database maps destination IP addresses to a “next hop” or outgoing link to be used by packets which carry that address.  </w:t>
      </w:r>
    </w:p>
    <w:p w:rsidR="00D7311F" w:rsidRDefault="00D7311F" w:rsidP="00D7311F">
      <w:r>
        <w:t xml:space="preserve">The routing system can be abused in order to send packets to favored destinations along specially engineered paths not available to disfavored packets.   </w:t>
      </w:r>
      <w:r w:rsidR="007D5D9C">
        <w:t>It can also be abused to send packets to disfavored destinations over unnecessarily long or frequently congested paths.</w:t>
      </w:r>
    </w:p>
    <w:p w:rsidR="00FE58F5" w:rsidRDefault="00250F2A" w:rsidP="00FE58F5">
      <w:pPr>
        <w:pStyle w:val="Heading2"/>
      </w:pPr>
      <w:bookmarkStart w:id="13" w:name="_Toc491855591"/>
      <w:r>
        <w:t>Recent d</w:t>
      </w:r>
      <w:r w:rsidR="00FE58F5">
        <w:t>evelopments</w:t>
      </w:r>
      <w:bookmarkEnd w:id="13"/>
      <w:r>
        <w:t xml:space="preserve"> [not part of our 2014 comments]</w:t>
      </w:r>
    </w:p>
    <w:p w:rsidR="00FE58F5" w:rsidRDefault="00FE58F5" w:rsidP="00FE58F5">
      <w:r>
        <w:t>The industry is undergoing massive transformation, much of it wi</w:t>
      </w:r>
      <w:r w:rsidR="00250F2A">
        <w:t xml:space="preserve">th the theme that purpose-built, </w:t>
      </w:r>
      <w:r>
        <w:t>chassis</w:t>
      </w:r>
      <w:r w:rsidR="00250F2A">
        <w:t>-based hardware</w:t>
      </w:r>
      <w:r>
        <w:t xml:space="preserve"> with embedded</w:t>
      </w:r>
      <w:r w:rsidR="00250F2A">
        <w:t xml:space="preserve"> software</w:t>
      </w:r>
      <w:r>
        <w:t xml:space="preserve"> should be displaced by generic hardware and virtualized </w:t>
      </w:r>
      <w:r w:rsidR="00BC1373">
        <w:t xml:space="preserve">and largely open-sourced </w:t>
      </w:r>
      <w:r>
        <w:t>software running in generic servers. The ostensible benefits include</w:t>
      </w:r>
      <w:r w:rsidR="00F31538">
        <w:t>:</w:t>
      </w:r>
    </w:p>
    <w:p w:rsidR="00F31538" w:rsidRDefault="00F31538" w:rsidP="00F31538">
      <w:pPr>
        <w:pStyle w:val="Heading3"/>
      </w:pPr>
      <w:r>
        <w:t>Capital cost reduction, by using generic “white box” hardware with generic Ethernet interconnects rather than proprietary, high-margin chassis.</w:t>
      </w:r>
    </w:p>
    <w:p w:rsidR="00F31538" w:rsidRDefault="00F31538" w:rsidP="00F31538">
      <w:pPr>
        <w:pStyle w:val="Heading3"/>
      </w:pPr>
      <w:r>
        <w:t xml:space="preserve">Greater scalability; as endpoints are added and new services emerge, the </w:t>
      </w:r>
      <w:r w:rsidR="00BC1373">
        <w:t xml:space="preserve">growth and </w:t>
      </w:r>
      <w:r>
        <w:t>upgrade path is simplified.</w:t>
      </w:r>
    </w:p>
    <w:p w:rsidR="00F31538" w:rsidRDefault="00F31538" w:rsidP="00F31538">
      <w:pPr>
        <w:pStyle w:val="Heading3"/>
      </w:pPr>
      <w:r>
        <w:t>Reduced clerical overhead through automation of previously manual tasks.</w:t>
      </w:r>
    </w:p>
    <w:p w:rsidR="00F31538" w:rsidRPr="00F31538" w:rsidRDefault="00F31538" w:rsidP="00F31538">
      <w:pPr>
        <w:pStyle w:val="Heading3"/>
      </w:pPr>
      <w:r>
        <w:t>Streamlining and modernization</w:t>
      </w:r>
    </w:p>
    <w:p w:rsidR="00F31538" w:rsidRDefault="00F31538" w:rsidP="00F31538">
      <w:pPr>
        <w:pStyle w:val="Heading3"/>
      </w:pPr>
      <w:r>
        <w:t>Reduced time to create and roll out new services</w:t>
      </w:r>
      <w:r w:rsidR="00FC6C09">
        <w:t xml:space="preserve">. Providers can develop new </w:t>
      </w:r>
      <w:r w:rsidR="00BC1373">
        <w:t xml:space="preserve">service </w:t>
      </w:r>
      <w:r w:rsidR="00FC6C09">
        <w:t xml:space="preserve">software, or adapt and customize open source software, reducing dependency </w:t>
      </w:r>
      <w:r w:rsidR="00BC1373">
        <w:t>up</w:t>
      </w:r>
      <w:r w:rsidR="00FC6C09">
        <w:t>on vendors. Agile development and DevOps shorten development cycles, trading a little risk for timeliness.</w:t>
      </w:r>
      <w:r w:rsidR="00BC1373">
        <w:t xml:space="preserve"> </w:t>
      </w:r>
    </w:p>
    <w:p w:rsidR="00F31538" w:rsidRDefault="00FC6C09" w:rsidP="00FB7287">
      <w:r>
        <w:t xml:space="preserve">This last point is an opportunity for abuse. </w:t>
      </w:r>
      <w:r w:rsidR="00253F24">
        <w:t xml:space="preserve">With embedded systems, an ISP seeking new technical means to violate Open Internet principles would need to conspire with vendors. This would leave a trail of evidence and broad risk of disclosure. Even trivial additions would require a long process for the vendor to prioritize, resource, develop, test and release. With software defined networks (SDN) and network function virtualization (NFV), the ISP has complete control over </w:t>
      </w:r>
      <w:r w:rsidR="006B2413">
        <w:t>software development, and ability to deploy new features selectively and covertly. SDN and NFV are, on balance, a great improvement upon past architectures an</w:t>
      </w:r>
      <w:r w:rsidR="00FB7287">
        <w:t xml:space="preserve">d practices. However they also </w:t>
      </w:r>
      <w:r w:rsidR="00BC1373">
        <w:t>give</w:t>
      </w:r>
      <w:r w:rsidR="00FB7287">
        <w:t xml:space="preserve">  ISPs – even rouge employees –the opportunity to modify packet processing behavior in ways detrimental to consumers and competition</w:t>
      </w:r>
      <w:r w:rsidR="006B2413">
        <w:t xml:space="preserve">. </w:t>
      </w:r>
      <w:r w:rsidR="00FB7287">
        <w:t xml:space="preserve">For example, one could imagine a covert virtual network function (VNF) that performed traffic analysis for purposes of </w:t>
      </w:r>
      <w:r w:rsidR="001C143C">
        <w:t>profiling individual consumers based on their usage patterns</w:t>
      </w:r>
      <w:r w:rsidR="00FB7287">
        <w:t xml:space="preserve">. Another might </w:t>
      </w:r>
      <w:r w:rsidR="00BC1373">
        <w:t>hijack</w:t>
      </w:r>
      <w:r w:rsidR="00715587">
        <w:t xml:space="preserve"> DNS requests from a third-party server to the ISP’s own DNS server. </w:t>
      </w:r>
      <w:r w:rsidR="001C143C">
        <w:t>While these threats are hypothetical, they are not whimsical, and the Commission must have the authority to preemptively prohibit them and respond promptly to complaints.</w:t>
      </w:r>
    </w:p>
    <w:p w:rsidR="00172100" w:rsidRDefault="00715587" w:rsidP="00172100">
      <w:pPr>
        <w:pStyle w:val="Heading1"/>
      </w:pPr>
      <w:bookmarkStart w:id="14" w:name="_Toc491855592"/>
      <w:r>
        <w:t>broadband investment is growing</w:t>
      </w:r>
      <w:bookmarkEnd w:id="14"/>
      <w:r w:rsidR="00172100">
        <w:t xml:space="preserve"> </w:t>
      </w:r>
    </w:p>
    <w:p w:rsidR="00BD48F8" w:rsidRDefault="00BD48F8" w:rsidP="00BD48F8">
      <w:r>
        <w:t xml:space="preserve">The NPRM is premised on the </w:t>
      </w:r>
      <w:r w:rsidR="00BC1373">
        <w:t>dogma</w:t>
      </w:r>
      <w:r>
        <w:t xml:space="preserve"> that burdensome regulation somehow inhibits broadband investment. This is contrary to our</w:t>
      </w:r>
      <w:r w:rsidR="00BC1373">
        <w:t xml:space="preserve"> long experience and</w:t>
      </w:r>
      <w:r>
        <w:t xml:space="preserve"> understanding of the broadband provider and equipment market. Indeed, our most recent report</w:t>
      </w:r>
      <w:r w:rsidR="00BC1373">
        <w:t>,</w:t>
      </w:r>
      <w:r>
        <w:t xml:space="preserve"> for the respected industry analysis firm </w:t>
      </w:r>
      <w:r w:rsidRPr="00BC1373">
        <w:rPr>
          <w:i/>
        </w:rPr>
        <w:t>Heavy Reading</w:t>
      </w:r>
      <w:r>
        <w:rPr>
          <w:rStyle w:val="FootnoteReference"/>
        </w:rPr>
        <w:footnoteReference w:id="17"/>
      </w:r>
      <w:r w:rsidR="00BC1373">
        <w:t xml:space="preserve"> , </w:t>
      </w:r>
      <w:r>
        <w:t>presents evidence of robust growth in infrastructure investment. “Acute needs for x-haul for 4G mobile densification and 5G, IoT, business services upgrades, and Gigabit broadband is driving a resurgence in access fiber construction.”</w:t>
      </w:r>
      <w:r>
        <w:rPr>
          <w:rStyle w:val="FootnoteReference"/>
        </w:rPr>
        <w:footnoteReference w:id="18"/>
      </w:r>
      <w:r>
        <w:t xml:space="preserve"> In addition, MSOs are rapidly deploying DOCSIS 3.1 and are upgrading their HFC infrastructure with node splits, </w:t>
      </w:r>
      <w:r w:rsidR="00266FF8">
        <w:t xml:space="preserve">bandwidth upgrades and fiber-deep architectures. These share the same business drivers as those that motivate the telecom players. </w:t>
      </w:r>
    </w:p>
    <w:p w:rsidR="00266FF8" w:rsidRDefault="00266FF8" w:rsidP="00BD48F8">
      <w:r>
        <w:t xml:space="preserve">Our understanding of marketplace realities fully supports the </w:t>
      </w:r>
      <w:r w:rsidR="001D1507">
        <w:t>analysis and conclusions</w:t>
      </w:r>
      <w:r>
        <w:t xml:space="preserve"> of Part VI of Free Press’ Comments</w:t>
      </w:r>
      <w:r w:rsidR="001D1507">
        <w:t>.</w:t>
      </w:r>
      <w:r>
        <w:rPr>
          <w:rStyle w:val="FootnoteReference"/>
        </w:rPr>
        <w:footnoteReference w:id="19"/>
      </w:r>
      <w:r>
        <w:t xml:space="preserve"> </w:t>
      </w:r>
      <w:r w:rsidR="001D1507">
        <w:t xml:space="preserve">With respect to the broadband markets that we cover, we fully concur. We commend the research and analysis of Derek Turner et al, finding it to be thorough and well-reasoned. Indeed, had we been commissioned to write such a report, we would have used the same sources and methodologies. </w:t>
      </w:r>
      <w:r w:rsidR="00340E78">
        <w:t>They completely debunk, in our view, the arguments and cherry-picked facts of USTA, Singer</w:t>
      </w:r>
      <w:r w:rsidR="00964930">
        <w:t>,</w:t>
      </w:r>
      <w:r w:rsidR="00340E78">
        <w:t xml:space="preserve"> et. al. </w:t>
      </w:r>
    </w:p>
    <w:p w:rsidR="001E0A6A" w:rsidRDefault="00340E78" w:rsidP="007E1D98">
      <w:r>
        <w:t xml:space="preserve">More recent evidence supports Free Press. </w:t>
      </w:r>
      <w:r w:rsidR="007E1D98">
        <w:t>For example, t</w:t>
      </w:r>
      <w:r w:rsidR="00B6603E">
        <w:t xml:space="preserve">he three Tier-1 telecom carriers each announced major expansions of their fiber-to-the-home footprint. In the words of Veronica Bloodworth, SVP of Construction at AT&amp;T </w:t>
      </w:r>
      <w:r w:rsidR="00B6603E" w:rsidRPr="00B6603E">
        <w:t>"Our team is focused on building Fiber to the premises… we are hockey sticking our fiber deployment</w:t>
      </w:r>
      <w:r w:rsidR="007E1D98">
        <w:rPr>
          <w:rStyle w:val="FootnoteReference"/>
        </w:rPr>
        <w:footnoteReference w:id="20"/>
      </w:r>
      <w:r w:rsidR="00B6603E" w:rsidRPr="00B6603E">
        <w:t>"</w:t>
      </w:r>
      <w:r w:rsidR="00B6603E">
        <w:t>.</w:t>
      </w:r>
      <w:r w:rsidR="001E0A6A">
        <w:t xml:space="preserve"> Beyond their merger commitment to the</w:t>
      </w:r>
      <w:r w:rsidR="00BC1373">
        <w:t xml:space="preserve"> Commission to pass 14M homes, t</w:t>
      </w:r>
      <w:r w:rsidR="001E0A6A">
        <w:t>hey are on track to pass 17M homes by the end of 2018</w:t>
      </w:r>
      <w:r w:rsidR="0069488A">
        <w:rPr>
          <w:rStyle w:val="FootnoteReference"/>
        </w:rPr>
        <w:footnoteReference w:id="21"/>
      </w:r>
      <w:r w:rsidR="00BC1373">
        <w:t>.</w:t>
      </w:r>
      <w:r w:rsidR="00B6603E">
        <w:t xml:space="preserve"> Verizon has adopted the slogan “Fiber is Sexy Again”, a refrain repeated by their CEO, CFO and Chief Network Officer</w:t>
      </w:r>
      <w:r w:rsidR="007E1D98">
        <w:rPr>
          <w:rStyle w:val="FootnoteReference"/>
        </w:rPr>
        <w:footnoteReference w:id="22"/>
      </w:r>
      <w:r w:rsidR="00B6603E">
        <w:t xml:space="preserve">. </w:t>
      </w:r>
      <w:r w:rsidR="001E0A6A">
        <w:t>More substantively, they</w:t>
      </w:r>
      <w:r w:rsidR="007E1D98">
        <w:t xml:space="preserve"> announced a 3-year, $3B procurement contract with Corning to purchase fiber cables and accessories of the kind they use to build FTTH distribution networks. </w:t>
      </w:r>
      <w:r w:rsidR="0069488A">
        <w:t>They tout high-profile multi-service fiber build in</w:t>
      </w:r>
      <w:r w:rsidR="0069488A" w:rsidRPr="0069488A">
        <w:t xml:space="preserve"> the City of Boston</w:t>
      </w:r>
      <w:r w:rsidR="0069488A">
        <w:t xml:space="preserve"> as a template for future deployments. T</w:t>
      </w:r>
      <w:r w:rsidR="0069488A" w:rsidRPr="0069488A">
        <w:t xml:space="preserve">hey </w:t>
      </w:r>
      <w:r w:rsidR="0069488A">
        <w:t xml:space="preserve">also </w:t>
      </w:r>
      <w:r w:rsidR="0069488A" w:rsidRPr="0069488A">
        <w:t>continue to expand their</w:t>
      </w:r>
      <w:r w:rsidR="0069488A">
        <w:t xml:space="preserve"> serve</w:t>
      </w:r>
      <w:r w:rsidR="0069488A" w:rsidRPr="0069488A">
        <w:t xml:space="preserve"> footprint within </w:t>
      </w:r>
      <w:r w:rsidR="0069488A">
        <w:t>FTTH-served wire centers</w:t>
      </w:r>
      <w:r w:rsidR="0069488A" w:rsidRPr="0069488A">
        <w:t xml:space="preserve">. They have filed discontinuance notices for wireline telephone service, transitioning to fiber, at an increasing pace. </w:t>
      </w:r>
      <w:r w:rsidR="001E0A6A">
        <w:t xml:space="preserve">In the meantime, Tier-2 and rural operators have been increasing their rates of fiber deployment. </w:t>
      </w:r>
      <w:r w:rsidR="00BC1373">
        <w:t>Thirty pe</w:t>
      </w:r>
      <w:r w:rsidR="00E10D53">
        <w:t>rcent of rural carriers have adopted FTTH over their entire footprint</w:t>
      </w:r>
      <w:r w:rsidR="00E10D53">
        <w:rPr>
          <w:rStyle w:val="FootnoteReference"/>
        </w:rPr>
        <w:footnoteReference w:id="23"/>
      </w:r>
      <w:r w:rsidR="00E10D53">
        <w:t xml:space="preserve">. Investors </w:t>
      </w:r>
      <w:r w:rsidR="00BC1373">
        <w:t>once again are interested</w:t>
      </w:r>
      <w:r w:rsidR="00E10D53">
        <w:t xml:space="preserve"> in these kinds of deployments; for example, broadband revenue bonds are once again marketable</w:t>
      </w:r>
      <w:r w:rsidR="00BC1373">
        <w:t>, and hedge funds have made massive equity investments</w:t>
      </w:r>
      <w:r w:rsidR="00E10D53">
        <w:t xml:space="preserve">. </w:t>
      </w:r>
      <w:r w:rsidR="00B45979">
        <w:t xml:space="preserve"> </w:t>
      </w:r>
      <w:r w:rsidR="0069488A">
        <w:t xml:space="preserve">Singer estimates that announced </w:t>
      </w:r>
      <w:r w:rsidR="00B45979">
        <w:t>deployments</w:t>
      </w:r>
      <w:r w:rsidR="0069488A">
        <w:t xml:space="preserve"> will almost double the number of US homes passed, from 32.5M to 55M. </w:t>
      </w:r>
      <w:r w:rsidR="00E10D53">
        <w:t xml:space="preserve">According to SNL Kagan, </w:t>
      </w:r>
      <w:r w:rsidR="00B45979">
        <w:t xml:space="preserve">domestic US </w:t>
      </w:r>
      <w:r w:rsidR="00E10D53">
        <w:t>telecom spending on FTTH optical network terminators and optical line terminator ports rose nearly 50% in 2016.</w:t>
      </w:r>
      <w:r w:rsidR="00E10D53">
        <w:rPr>
          <w:rStyle w:val="FootnoteReference"/>
        </w:rPr>
        <w:footnoteReference w:id="24"/>
      </w:r>
    </w:p>
    <w:p w:rsidR="00B6603E" w:rsidRDefault="0069488A" w:rsidP="00BD48F8">
      <w:r>
        <w:t>On the cable side, all of the major MSOs have announced plant upgrades, typically to eliminate unreliable, bandwidth-limiting equipment from the network</w:t>
      </w:r>
      <w:r w:rsidR="00E10D53">
        <w:t xml:space="preserve"> and better support DOCSIS 3.1</w:t>
      </w:r>
      <w:r>
        <w:t xml:space="preserve">. For example, Comcast plans to install 1M new fiber nodes in their network, in addition to the present 250,000. </w:t>
      </w:r>
      <w:r w:rsidR="00E10D53">
        <w:t xml:space="preserve">Similarly, Cox is installing 200k fiber nodes in addition to the existing 25k. Altice plans to upgrade most of their footprint to FTTH by the end of 2022.  </w:t>
      </w:r>
    </w:p>
    <w:p w:rsidR="00715587" w:rsidRDefault="00C754B4" w:rsidP="00715587">
      <w:r>
        <w:t xml:space="preserve">The trends show a vibrant industry with big plans, not one contracting from over-regulation. </w:t>
      </w:r>
      <w:r w:rsidR="00964930">
        <w:t>Subjectively, the level of enthusiasm at the recent Fiber B</w:t>
      </w:r>
      <w:r w:rsidR="008F3926">
        <w:t>roadband Council’s FiberC</w:t>
      </w:r>
      <w:r w:rsidR="00964930">
        <w:t>onnect</w:t>
      </w:r>
      <w:r w:rsidR="008F3926">
        <w:t xml:space="preserve"> 2017</w:t>
      </w:r>
      <w:r w:rsidR="00964930">
        <w:t xml:space="preserve"> conference</w:t>
      </w:r>
      <w:r w:rsidR="00B45979">
        <w:t>, relative to the rather dour mood at conferences we attended in 2014 and 2015,</w:t>
      </w:r>
      <w:r w:rsidR="00964930">
        <w:t xml:space="preserve"> inspired our confidence. </w:t>
      </w:r>
      <w:r>
        <w:t>I</w:t>
      </w:r>
      <w:r w:rsidR="00266FF8">
        <w:t xml:space="preserve">f providers are supposed to be </w:t>
      </w:r>
      <w:r w:rsidR="0069488A">
        <w:t>“going</w:t>
      </w:r>
      <w:r w:rsidR="00266FF8">
        <w:t xml:space="preserve"> Gault</w:t>
      </w:r>
      <w:r w:rsidR="0069488A">
        <w:t xml:space="preserve">” </w:t>
      </w:r>
      <w:r w:rsidR="00266FF8">
        <w:t xml:space="preserve">from infrastructure building, the memo never made it out of </w:t>
      </w:r>
      <w:r w:rsidR="0069488A">
        <w:t xml:space="preserve">their </w:t>
      </w:r>
      <w:r w:rsidR="00E10D53">
        <w:t>K Street</w:t>
      </w:r>
      <w:r w:rsidR="0069488A">
        <w:t xml:space="preserve"> offices.</w:t>
      </w:r>
    </w:p>
    <w:p w:rsidR="00964930" w:rsidRDefault="00964930" w:rsidP="00964930">
      <w:pPr>
        <w:pStyle w:val="Heading1"/>
      </w:pPr>
      <w:bookmarkStart w:id="15" w:name="_Toc491855593"/>
      <w:r>
        <w:t>ISPs are more like Telecommunications providers than Information providers</w:t>
      </w:r>
      <w:bookmarkEnd w:id="15"/>
    </w:p>
    <w:p w:rsidR="00964930" w:rsidRDefault="00C605FF" w:rsidP="001B3C9D">
      <w:r>
        <w:t xml:space="preserve">We strongly concur with the </w:t>
      </w:r>
      <w:r w:rsidRPr="00C605FF">
        <w:t>Joint Comments of Internet Engineers, Pioneers, and Technologists</w:t>
      </w:r>
      <w:r w:rsidR="001B3C9D">
        <w:rPr>
          <w:rStyle w:val="FootnoteReference"/>
        </w:rPr>
        <w:footnoteReference w:id="25"/>
      </w:r>
      <w:r w:rsidR="001B3C9D">
        <w:t xml:space="preserve"> (“Joint Comments”)</w:t>
      </w:r>
      <w:r>
        <w:t xml:space="preserve"> First, we know many of the signatories personally, and others by reputation. Among them are </w:t>
      </w:r>
      <w:r w:rsidR="001B3C9D">
        <w:t>some of the leading experts</w:t>
      </w:r>
      <w:r w:rsidR="008E64A1">
        <w:t xml:space="preserve"> and innovators</w:t>
      </w:r>
      <w:r w:rsidR="001B3C9D">
        <w:t xml:space="preserve"> </w:t>
      </w:r>
      <w:r w:rsidR="008E64A1">
        <w:t>in</w:t>
      </w:r>
      <w:r w:rsidR="001B3C9D">
        <w:t xml:space="preserve"> Internet technologies.</w:t>
      </w:r>
      <w:r>
        <w:t xml:space="preserve"> </w:t>
      </w:r>
      <w:r w:rsidR="008E64A1">
        <w:t>T</w:t>
      </w:r>
      <w:r>
        <w:t xml:space="preserve">heir views are not to be taken lightly. </w:t>
      </w:r>
      <w:r w:rsidR="001B3C9D">
        <w:t>They correctly warn that the authors of the NPRM “appear(s) to lack a fundamental understanding of what the Internet's technology promises to provide, how the Internet actually works, which entities in the Internet ecosystem provide which services, and what the similarities and differences are between the Internet and other telecommunications systems the FCC regulates as telecommunications services.” This is a familiar complaint, and our Open Internet NPRM comments</w:t>
      </w:r>
      <w:r w:rsidR="008F3926">
        <w:rPr>
          <w:rStyle w:val="FootnoteReference"/>
        </w:rPr>
        <w:footnoteReference w:id="26"/>
      </w:r>
      <w:r w:rsidR="001B3C9D">
        <w:t xml:space="preserve"> reflected some of this frustration. Their cogent explanation</w:t>
      </w:r>
      <w:r w:rsidR="008E64A1">
        <w:t>s bear</w:t>
      </w:r>
      <w:r w:rsidR="001B3C9D">
        <w:t xml:space="preserve"> thoughtful reading</w:t>
      </w:r>
      <w:r w:rsidR="008F3926">
        <w:t xml:space="preserve"> and comprehension</w:t>
      </w:r>
      <w:r w:rsidR="001B3C9D">
        <w:t>.</w:t>
      </w:r>
    </w:p>
    <w:p w:rsidR="001B3C9D" w:rsidRDefault="001B3C9D" w:rsidP="00A52255">
      <w:r>
        <w:t>The</w:t>
      </w:r>
      <w:r w:rsidR="00361F44">
        <w:t xml:space="preserve"> Joint Comments correctly point out fallacies in the NPRM’s hypothesis that ISPs are more like Information Providers than Telecommunications Providers, under the obsolete</w:t>
      </w:r>
      <w:r w:rsidR="008E64A1">
        <w:t xml:space="preserve"> yet binding</w:t>
      </w:r>
      <w:r w:rsidR="00361F44">
        <w:t xml:space="preserve"> </w:t>
      </w:r>
      <w:r w:rsidR="008E64A1">
        <w:t>definitions</w:t>
      </w:r>
      <w:r w:rsidR="00361F44">
        <w:t xml:space="preserve"> of Computer III and the Telecommunications Act of 1996. The </w:t>
      </w:r>
      <w:r w:rsidR="00A52255">
        <w:t xml:space="preserve">arguments in the </w:t>
      </w:r>
      <w:r w:rsidR="00361F44">
        <w:t xml:space="preserve">NPRM </w:t>
      </w:r>
      <w:r w:rsidR="00A52255">
        <w:t>fail to correctly apply the layering principle and the end-to-end principle, which are at the intellectual foundation of the Internet. Paragraph 27 of the NPRM illustrates the majority’s confusion. It suggests that “</w:t>
      </w:r>
      <w:r w:rsidR="00A52255">
        <w:t>broadband Internet access service appears to offer its users the “capability” to perform each and every one</w:t>
      </w:r>
      <w:r w:rsidR="00A52255">
        <w:t xml:space="preserve"> of </w:t>
      </w:r>
      <w:r w:rsidR="00A52255">
        <w:t>of the functions listed in the definition</w:t>
      </w:r>
      <w:r w:rsidR="00A52255">
        <w:t xml:space="preserve"> [of an Information Provider in Title II]</w:t>
      </w:r>
      <w:r w:rsidR="00A52255">
        <w:t xml:space="preserve">—and accordingly appears </w:t>
      </w:r>
      <w:r w:rsidR="00A52255">
        <w:t xml:space="preserve">to be an information service by </w:t>
      </w:r>
      <w:r w:rsidR="00A52255">
        <w:t>definition.</w:t>
      </w:r>
      <w:r w:rsidR="00A52255">
        <w:t xml:space="preserve"> In light of layering and the end-to-end principle, this is </w:t>
      </w:r>
      <w:r w:rsidR="001D5FC4">
        <w:t>not true</w:t>
      </w:r>
      <w:r w:rsidR="00A52255">
        <w:t xml:space="preserve">. </w:t>
      </w:r>
      <w:r w:rsidR="001D5FC4">
        <w:t>Telecommunications services, which are hop-by-hop, occur at a lower layer than Information Services, which are end-to-end. They provide and support a service that transports packets between a user and an Information Provider (by the Title II definition). The fact that those “capabilities” pass thorough them does not mean that they are offered by them. To those skilled in the art, such an argument is a non-sequitur</w:t>
      </w:r>
      <w:r w:rsidR="008E64A1">
        <w:t xml:space="preserve"> and a cognitive dissonance.</w:t>
      </w:r>
      <w:r w:rsidR="001D5FC4">
        <w:t xml:space="preserve"> </w:t>
      </w:r>
      <w:r w:rsidR="008E64A1">
        <w:t xml:space="preserve">It is absurd when argued in the </w:t>
      </w:r>
      <w:r w:rsidR="008F3926">
        <w:t>intellectual framework</w:t>
      </w:r>
      <w:r w:rsidR="008E64A1">
        <w:t xml:space="preserve"> of our established model of the Internet</w:t>
      </w:r>
      <w:r w:rsidR="001D5FC4">
        <w:t>.</w:t>
      </w:r>
    </w:p>
    <w:p w:rsidR="005F19E5" w:rsidRDefault="001D5FC4" w:rsidP="00A52255">
      <w:r>
        <w:t xml:space="preserve">Compounding this, the NPRM continues the </w:t>
      </w:r>
      <w:r w:rsidRPr="008F3926">
        <w:rPr>
          <w:i/>
        </w:rPr>
        <w:t>Cable Modem</w:t>
      </w:r>
      <w:r>
        <w:t xml:space="preserve"> fallacy that since</w:t>
      </w:r>
      <w:r w:rsidR="005F19E5">
        <w:t xml:space="preserve"> broadband internet access providers also act as</w:t>
      </w:r>
      <w:r>
        <w:t xml:space="preserve"> ISPs, their Telecommunications functions </w:t>
      </w:r>
      <w:r w:rsidR="005F19E5">
        <w:t xml:space="preserve">are negated. </w:t>
      </w:r>
      <w:r>
        <w:t xml:space="preserve">Email is given as an example, despite the rather obvious fact that most consumers are not using their ISPs’ email service, and ISPs’ email services can just as easily be accessed through a competing Telecommunications Provider as the </w:t>
      </w:r>
      <w:r w:rsidR="005F19E5">
        <w:t xml:space="preserve">broadband </w:t>
      </w:r>
      <w:r>
        <w:t xml:space="preserve">ISP serving the </w:t>
      </w:r>
      <w:r w:rsidR="005F19E5">
        <w:t xml:space="preserve">customer. </w:t>
      </w:r>
    </w:p>
    <w:p w:rsidR="005F19E5" w:rsidRDefault="005F19E5" w:rsidP="00A52255">
      <w:r>
        <w:t xml:space="preserve">The NPRM proceeds to descend into a line of sophistry to the effect that since the entity providing BIAS is called a broadband ISP, and </w:t>
      </w:r>
      <w:r w:rsidR="00B67159">
        <w:t xml:space="preserve">ISPs provide </w:t>
      </w:r>
      <w:r>
        <w:t xml:space="preserve">some information services, </w:t>
      </w:r>
      <w:r w:rsidR="00B67159">
        <w:t xml:space="preserve">a broadband ISP is therefore an Information Services provider. This, too, is the </w:t>
      </w:r>
      <w:r w:rsidR="00B67159" w:rsidRPr="003974B5">
        <w:rPr>
          <w:i/>
        </w:rPr>
        <w:t>Cable Modem</w:t>
      </w:r>
      <w:r w:rsidR="00B67159">
        <w:t xml:space="preserve"> fallacy, based on the way that broadband services were bundled in the early 2000s. A broadband ISP is not an Information provider </w:t>
      </w:r>
      <w:r w:rsidR="003974B5">
        <w:t>that</w:t>
      </w:r>
      <w:r w:rsidR="00B67159">
        <w:t xml:space="preserve"> incidentally does some telecom-like things. It is an entity that provides telecom services and may also provide some information services. </w:t>
      </w:r>
      <w:r w:rsidR="003974B5">
        <w:t xml:space="preserve">These services need to be treated separately from a regulatory perspective, regardless of their being offered by the same entity.  </w:t>
      </w:r>
      <w:r w:rsidR="00B67159">
        <w:t xml:space="preserve">Very little of the value that consumers obtain from their broadband ISP is in Internet Services. The value is in a Telecommunications service </w:t>
      </w:r>
      <w:r w:rsidR="003974B5">
        <w:t>that</w:t>
      </w:r>
      <w:r w:rsidR="00B67159">
        <w:t xml:space="preserve"> transports packets across the local access and metro infrastructure to a peering point. All else is incidental. A reasonably savvy consumer could buy a pure IP telecommunications service </w:t>
      </w:r>
      <w:r w:rsidR="003974B5">
        <w:t xml:space="preserve">from a telecommunications provider entity, </w:t>
      </w:r>
      <w:r w:rsidR="00B67159">
        <w:t xml:space="preserve">and </w:t>
      </w:r>
      <w:r w:rsidR="003974B5">
        <w:t>buy</w:t>
      </w:r>
      <w:r w:rsidR="00B67159">
        <w:t xml:space="preserve"> all </w:t>
      </w:r>
      <w:r w:rsidR="003974B5">
        <w:t>information services</w:t>
      </w:r>
      <w:r w:rsidR="00B67159">
        <w:t xml:space="preserve"> – email, DNS and so on </w:t>
      </w:r>
      <w:r w:rsidR="003974B5">
        <w:t>–</w:t>
      </w:r>
      <w:r w:rsidR="00B67159">
        <w:t xml:space="preserve"> </w:t>
      </w:r>
      <w:r w:rsidR="003974B5">
        <w:t>from</w:t>
      </w:r>
      <w:r w:rsidR="00B67159">
        <w:t xml:space="preserve"> independent </w:t>
      </w:r>
      <w:r w:rsidR="003974B5">
        <w:t>information service provider entity</w:t>
      </w:r>
      <w:r w:rsidR="00B67159">
        <w:t xml:space="preserve">. </w:t>
      </w:r>
    </w:p>
    <w:p w:rsidR="003974B5" w:rsidRDefault="003974B5" w:rsidP="00A52255">
      <w:r>
        <w:t xml:space="preserve">We cannot overemphasize this point. By way of </w:t>
      </w:r>
      <w:r w:rsidR="008F3926">
        <w:t>personal</w:t>
      </w:r>
      <w:r>
        <w:t xml:space="preserve"> example: we are so fortunate as to be served by Verizon’s FiOS </w:t>
      </w:r>
      <w:r w:rsidR="00291CD5">
        <w:t>FTTH service at our home/office</w:t>
      </w:r>
      <w:r>
        <w:t xml:space="preserve">. As far as we are concerned, all of the value we receive from the Internet portion of our monthly bill comes from </w:t>
      </w:r>
      <w:r w:rsidRPr="003974B5">
        <w:t>the network termination equipment in our basement</w:t>
      </w:r>
      <w:r w:rsidR="00F20007">
        <w:t>;</w:t>
      </w:r>
      <w:r w:rsidRPr="003974B5">
        <w:t xml:space="preserve"> </w:t>
      </w:r>
      <w:r>
        <w:t xml:space="preserve">our shared use of access fibers from our home to Verizon’s local </w:t>
      </w:r>
      <w:r w:rsidR="00F20007">
        <w:t xml:space="preserve">central office; </w:t>
      </w:r>
      <w:r>
        <w:t>aggregation and transport from the CO to Verizon’s</w:t>
      </w:r>
      <w:r w:rsidR="00F20007">
        <w:t xml:space="preserve"> </w:t>
      </w:r>
      <w:r w:rsidR="00291CD5">
        <w:t xml:space="preserve">Greater Boston-area </w:t>
      </w:r>
      <w:r w:rsidR="00F20007">
        <w:t xml:space="preserve">data center; </w:t>
      </w:r>
      <w:r>
        <w:t xml:space="preserve"> </w:t>
      </w:r>
      <w:r w:rsidR="00D22284">
        <w:t>edge rou</w:t>
      </w:r>
      <w:r w:rsidR="00F20007">
        <w:t>ting functions;</w:t>
      </w:r>
      <w:r w:rsidR="00D22284">
        <w:t xml:space="preserve"> and transport to peering points </w:t>
      </w:r>
      <w:r w:rsidR="00F20007">
        <w:t>(including</w:t>
      </w:r>
      <w:r w:rsidR="00D22284">
        <w:t xml:space="preserve"> CDNs</w:t>
      </w:r>
      <w:r w:rsidR="00F20007">
        <w:t>)</w:t>
      </w:r>
      <w:r w:rsidR="00D22284">
        <w:t xml:space="preserve">. </w:t>
      </w:r>
      <w:r w:rsidR="00F20007">
        <w:t>Verizon forwards IP packets bi-directionally between our home/office LAN and the next-hop peering point on the path to the information providers of our choice. These</w:t>
      </w:r>
      <w:r w:rsidR="00291CD5">
        <w:t xml:space="preserve"> functions</w:t>
      </w:r>
      <w:r w:rsidR="00F20007">
        <w:t xml:space="preserve"> all fit within the Title II definition of a Telecom Service. That is what </w:t>
      </w:r>
      <w:r w:rsidR="008F3926">
        <w:t xml:space="preserve">believe </w:t>
      </w:r>
      <w:r w:rsidR="00F20007">
        <w:t xml:space="preserve">we are paying for, both as a consumer/small business and as a subject matter expert. </w:t>
      </w:r>
      <w:r w:rsidR="00D22284">
        <w:t>We haven’t bothered to change DNS providers</w:t>
      </w:r>
      <w:r w:rsidR="00291CD5">
        <w:t xml:space="preserve"> but know that we could</w:t>
      </w:r>
      <w:r w:rsidR="00D22284">
        <w:t xml:space="preserve"> (</w:t>
      </w:r>
      <w:r w:rsidR="008F3926">
        <w:t xml:space="preserve">and </w:t>
      </w:r>
      <w:r w:rsidR="00F20007">
        <w:t xml:space="preserve">perhaps </w:t>
      </w:r>
      <w:r w:rsidR="00D22284">
        <w:t>should</w:t>
      </w:r>
      <w:r w:rsidR="008F3926">
        <w:t>,</w:t>
      </w:r>
      <w:r w:rsidR="00D22284">
        <w:t xml:space="preserve"> in the interest of privacy). We don’t know and don’t care whether Verizon caches some of the content we receive. Only one of our numerous email accounts is in the </w:t>
      </w:r>
      <w:r w:rsidR="00291CD5">
        <w:t>v</w:t>
      </w:r>
      <w:r w:rsidR="00D22284">
        <w:t xml:space="preserve">erizon.net domain, and that is now hosted by Verizon’s subsidiary Oath (formerly AOL). </w:t>
      </w:r>
      <w:r w:rsidR="00F20007">
        <w:t>Verizon’s network management</w:t>
      </w:r>
      <w:r w:rsidR="00291CD5">
        <w:t>, security</w:t>
      </w:r>
      <w:r w:rsidR="00F20007">
        <w:t xml:space="preserve"> and routing policies are transparent to us</w:t>
      </w:r>
      <w:r w:rsidR="00291CD5">
        <w:t xml:space="preserve"> as consumers</w:t>
      </w:r>
      <w:r w:rsidR="00F20007">
        <w:t>.</w:t>
      </w:r>
      <w:r w:rsidR="00291CD5">
        <w:t xml:space="preserve"> </w:t>
      </w:r>
      <w:r w:rsidR="00D22284">
        <w:t xml:space="preserve">Our MPVD service and IP telephony service are separate line items on our bill, and we </w:t>
      </w:r>
      <w:r w:rsidR="00291CD5">
        <w:t>purchase</w:t>
      </w:r>
      <w:r w:rsidR="00D22284">
        <w:t xml:space="preserve"> the bundle as a matter of convenience and pricing.</w:t>
      </w:r>
      <w:r w:rsidR="00291CD5">
        <w:t xml:space="preserve"> This is not the </w:t>
      </w:r>
      <w:r w:rsidR="00291CD5" w:rsidRPr="00291CD5">
        <w:rPr>
          <w:i/>
        </w:rPr>
        <w:t>Cable Modem</w:t>
      </w:r>
      <w:r w:rsidR="00291CD5">
        <w:t>-era model, where Information and Telecommunications services were essentially joined at the hip. Verizon is our Telecommunications Services provider and we incidentally and separately also obtain a small portion of our Information Services from Verizon.</w:t>
      </w:r>
    </w:p>
    <w:p w:rsidR="00BC3874" w:rsidRDefault="00BC3874" w:rsidP="00A52255">
      <w:r>
        <w:t>The Joint Comments explain how the Internet has evolved since the Cable Modem order. We fully agree with their analysis, and have nothing further to add.</w:t>
      </w:r>
    </w:p>
    <w:p w:rsidR="00BC3874" w:rsidRDefault="00BC3874" w:rsidP="00A52255">
      <w:r>
        <w:t>The Joint Comments proceed to eviscerate the NPRM’s rhetorical questions, addressing its willful misunderstandings of the relationships between entities</w:t>
      </w:r>
      <w:r w:rsidR="00A275C4">
        <w:t xml:space="preserve"> and the services they provide, and the nature of packet switching in the Internet. We admire their patience in explaining these basic principles to a deliberately obtuse audience. </w:t>
      </w:r>
      <w:r w:rsidR="00AD1829">
        <w:t>We w</w:t>
      </w:r>
      <w:r w:rsidR="00A275C4">
        <w:t>ould elaborate further on their responses if time allowed.</w:t>
      </w:r>
    </w:p>
    <w:p w:rsidR="00BC3874" w:rsidRDefault="00BC3874" w:rsidP="00A52255">
      <w:r>
        <w:t xml:space="preserve">The Joint Comments </w:t>
      </w:r>
      <w:r w:rsidR="00A275C4">
        <w:t xml:space="preserve">explain why the Commission should uphold the bright line rules with light touch regulation (note, however that their definition of “light touch” </w:t>
      </w:r>
      <w:r w:rsidR="006629C1">
        <w:t>is that of Chairman Wheeler, not Chairman Pai)</w:t>
      </w:r>
      <w:r w:rsidR="00A275C4">
        <w:t xml:space="preserve">. We are </w:t>
      </w:r>
      <w:r w:rsidR="00915362">
        <w:t>somewhat</w:t>
      </w:r>
      <w:r w:rsidR="00A275C4">
        <w:t xml:space="preserve"> less cynical about the motivations of broadband ISPs, and consider severe impact from ISP misbehavior to be a moderate risk rather than a near certainty. </w:t>
      </w:r>
      <w:r w:rsidR="00915362">
        <w:t xml:space="preserve">The bright line rules define boundaries that ISPs </w:t>
      </w:r>
      <w:r w:rsidR="006629C1">
        <w:t xml:space="preserve">rarely </w:t>
      </w:r>
      <w:r w:rsidR="008F3926">
        <w:t>try</w:t>
      </w:r>
      <w:r w:rsidR="00915362">
        <w:t xml:space="preserve"> to </w:t>
      </w:r>
      <w:r w:rsidR="006629C1">
        <w:t>violate</w:t>
      </w:r>
      <w:r w:rsidR="00915362">
        <w:t xml:space="preserve">, but they nonetheless have crossed them on occasion. We take to heart the maxim that one should never attribute to malice what can be explained by incompetence, and believe that it holds for most of the parade of horribles cited by the Joint Comments and others. The value of bright line rules is that they back up the ISPs’ </w:t>
      </w:r>
      <w:r w:rsidR="006629C1">
        <w:t xml:space="preserve">internal </w:t>
      </w:r>
      <w:r w:rsidR="00915362">
        <w:t xml:space="preserve">governance in fending off </w:t>
      </w:r>
      <w:r w:rsidR="006629C1">
        <w:t>anti-competitive, anti-consumer schemes. For example, if</w:t>
      </w:r>
      <w:r w:rsidR="00915362">
        <w:t xml:space="preserve"> a</w:t>
      </w:r>
      <w:r w:rsidR="00D1726F">
        <w:t xml:space="preserve"> </w:t>
      </w:r>
      <w:r w:rsidR="006629C1">
        <w:t>marketing executive proposes a way to use the ISP’s BIAS service to advantage their video service</w:t>
      </w:r>
      <w:r w:rsidR="008F3926">
        <w:t xml:space="preserve"> over its competitors</w:t>
      </w:r>
      <w:r w:rsidR="00915362">
        <w:t>, the</w:t>
      </w:r>
      <w:r w:rsidR="00D1726F">
        <w:t xml:space="preserve"> bright line rules give</w:t>
      </w:r>
      <w:r w:rsidR="00915362">
        <w:t xml:space="preserve"> </w:t>
      </w:r>
      <w:r w:rsidR="006629C1">
        <w:t xml:space="preserve">the ISP’s </w:t>
      </w:r>
      <w:r w:rsidR="00915362">
        <w:t xml:space="preserve">legal staff </w:t>
      </w:r>
      <w:r w:rsidR="00D1726F">
        <w:t>the</w:t>
      </w:r>
      <w:r w:rsidR="00915362">
        <w:t xml:space="preserve"> </w:t>
      </w:r>
      <w:r w:rsidR="00D1726F">
        <w:t>footing to block it.</w:t>
      </w:r>
      <w:r w:rsidR="006629C1">
        <w:t xml:space="preserve"> In addition, policies, procedures</w:t>
      </w:r>
      <w:r w:rsidR="008E64A1">
        <w:t>,</w:t>
      </w:r>
      <w:r w:rsidR="006629C1">
        <w:t xml:space="preserve"> and mandatory training</w:t>
      </w:r>
      <w:r w:rsidR="00167733">
        <w:t xml:space="preserve"> around the bright line rules</w:t>
      </w:r>
      <w:r w:rsidR="006629C1">
        <w:t xml:space="preserve"> </w:t>
      </w:r>
      <w:r w:rsidR="008E64A1">
        <w:t xml:space="preserve">reduce the likelihood that misguided low-level employees will </w:t>
      </w:r>
      <w:r w:rsidR="00167733">
        <w:t>violate them</w:t>
      </w:r>
      <w:r w:rsidR="008E64A1">
        <w:t>.</w:t>
      </w:r>
    </w:p>
    <w:p w:rsidR="00D1726F" w:rsidRDefault="00D1726F" w:rsidP="00A52255">
      <w:r>
        <w:t xml:space="preserve">Contrary to the </w:t>
      </w:r>
      <w:r w:rsidR="00900063">
        <w:t xml:space="preserve">Commission </w:t>
      </w:r>
      <w:r>
        <w:t>majority, we believe that prophylactic regulation is a sensible way to prevent abuses of market power.</w:t>
      </w:r>
      <w:r w:rsidR="00F80F06">
        <w:t xml:space="preserve"> I</w:t>
      </w:r>
      <w:r>
        <w:t>n the real world, in “Internet time”, any anti-consumer/anti-competitive abuses that see light of day require a</w:t>
      </w:r>
      <w:r w:rsidR="00F80F06">
        <w:t xml:space="preserve"> relatively rapid </w:t>
      </w:r>
      <w:r>
        <w:t xml:space="preserve">regulatory response. </w:t>
      </w:r>
      <w:r w:rsidR="00900063">
        <w:t xml:space="preserve">Light touch application of Title II gives the Commission the authority to adjudicate complaints, and stanch the damage within </w:t>
      </w:r>
      <w:r w:rsidR="00F80F06">
        <w:t>months, rather than years</w:t>
      </w:r>
      <w:r w:rsidR="00900063">
        <w:t>. Prophylactic regulation keeps honest players honest and fends off bad actors.</w:t>
      </w:r>
    </w:p>
    <w:p w:rsidR="00900063" w:rsidRDefault="00900063" w:rsidP="00A52255">
      <w:r>
        <w:t>The Joint Comments review examples of</w:t>
      </w:r>
      <w:r w:rsidR="00F80F06">
        <w:t xml:space="preserve"> past</w:t>
      </w:r>
      <w:r>
        <w:t xml:space="preserve"> harms that might have been prevented by the bright line rules. We have followed most of these, and concur that better regulation would have cut them off. They also reiterate </w:t>
      </w:r>
      <w:r w:rsidR="006629C1">
        <w:t>a more general harm,</w:t>
      </w:r>
      <w:r>
        <w:t xml:space="preserve"> caused by </w:t>
      </w:r>
      <w:r w:rsidR="006629C1">
        <w:t xml:space="preserve">application </w:t>
      </w:r>
      <w:r>
        <w:t xml:space="preserve">developers’ need to evade anti-consumer/anti-competitive </w:t>
      </w:r>
      <w:r w:rsidR="004F22D6">
        <w:t>speed bumps set by ISPs. We are aware of such cases, and agree that</w:t>
      </w:r>
      <w:r w:rsidR="006629C1">
        <w:t xml:space="preserve"> the</w:t>
      </w:r>
      <w:r w:rsidR="004F22D6">
        <w:t xml:space="preserve"> work-arounds </w:t>
      </w:r>
      <w:r w:rsidR="006629C1">
        <w:t>are a needless burden on developers and consumers</w:t>
      </w:r>
      <w:r w:rsidR="004F22D6">
        <w:t>.</w:t>
      </w:r>
    </w:p>
    <w:p w:rsidR="001B3C9D" w:rsidRPr="00964930" w:rsidRDefault="004F22D6" w:rsidP="00964930">
      <w:r>
        <w:t>The Joint Comments further note that since the Open Internet order, ISPs have stopped prohibiting customers from connecting non-harmful devices and using BIAS in ways that they see fit. We experienced that when our wireless provider prevented us from tethering.</w:t>
      </w:r>
      <w:r w:rsidR="00F80F06">
        <w:t xml:space="preserve"> Since </w:t>
      </w:r>
      <w:r w:rsidR="00167733">
        <w:t xml:space="preserve">they lifted </w:t>
      </w:r>
      <w:r w:rsidR="00F80F06">
        <w:t>that restriction in response to the Open Internet rules, we have been able to use our data plan with</w:t>
      </w:r>
      <w:r w:rsidR="00167733">
        <w:t xml:space="preserve"> our</w:t>
      </w:r>
      <w:r w:rsidR="00F80F06">
        <w:t xml:space="preserve"> laptop and tablet, both for business and recreation, when WiFi coverage was unavailable.</w:t>
      </w:r>
      <w:r>
        <w:t xml:space="preserve"> Our </w:t>
      </w:r>
      <w:r w:rsidR="00167733">
        <w:t>history</w:t>
      </w:r>
      <w:r>
        <w:t xml:space="preserve"> with Part 68 of the Commission’s rules</w:t>
      </w:r>
      <w:r w:rsidR="00F80F06">
        <w:t>, and with other CPE and equipment competition regulations,</w:t>
      </w:r>
      <w:r>
        <w:t xml:space="preserve"> </w:t>
      </w:r>
      <w:r w:rsidR="00F80F06">
        <w:t>demonstrates</w:t>
      </w:r>
      <w:r>
        <w:t xml:space="preserve"> that</w:t>
      </w:r>
      <w:r w:rsidR="00F80F06">
        <w:t xml:space="preserve"> sensible regulation</w:t>
      </w:r>
      <w:r>
        <w:t xml:space="preserve"> opens doors to </w:t>
      </w:r>
      <w:r w:rsidR="00F80F06">
        <w:t xml:space="preserve">third-party </w:t>
      </w:r>
      <w:r>
        <w:t xml:space="preserve">innovation and </w:t>
      </w:r>
      <w:r w:rsidR="00F80F06">
        <w:t xml:space="preserve">yields lower prices and better value for consumers. </w:t>
      </w:r>
    </w:p>
    <w:p w:rsidR="00D6791E" w:rsidRDefault="00F24217" w:rsidP="00754902">
      <w:pPr>
        <w:pStyle w:val="Heading1"/>
      </w:pPr>
      <w:bookmarkStart w:id="16" w:name="_Toc491855594"/>
      <w:r>
        <w:t>Conclusion</w:t>
      </w:r>
      <w:bookmarkEnd w:id="16"/>
    </w:p>
    <w:p w:rsidR="00AD1829" w:rsidRDefault="00AD1829" w:rsidP="00754902">
      <w:r>
        <w:t xml:space="preserve">We regret that these comments are neither as complete, nor as refined, as we would wish them to be. As we noted above, they were not written on behalf of any client, but rather as a citizen/expert. </w:t>
      </w:r>
    </w:p>
    <w:p w:rsidR="00C85237" w:rsidRDefault="00810569" w:rsidP="00754902">
      <w:r>
        <w:t>The C</w:t>
      </w:r>
      <w:r w:rsidR="00AD1829">
        <w:t>hairman</w:t>
      </w:r>
      <w:r>
        <w:t xml:space="preserve"> </w:t>
      </w:r>
      <w:r w:rsidR="00086CD7">
        <w:t xml:space="preserve">should </w:t>
      </w:r>
      <w:r w:rsidR="00AD1829">
        <w:t>abandon</w:t>
      </w:r>
      <w:r w:rsidR="00086CD7">
        <w:t xml:space="preserve"> this pro</w:t>
      </w:r>
      <w:r w:rsidR="00167733">
        <w:t>ceeding. It fails on its merits.</w:t>
      </w:r>
      <w:r w:rsidR="00086CD7">
        <w:t xml:space="preserve"> </w:t>
      </w:r>
      <w:r w:rsidR="00167733">
        <w:t>I</w:t>
      </w:r>
      <w:r w:rsidR="00AD1829">
        <w:t>t has attracted millions of negative public comments, and it only</w:t>
      </w:r>
      <w:r w:rsidR="00086CD7">
        <w:t xml:space="preserve"> serves to damage</w:t>
      </w:r>
      <w:r w:rsidR="00AD1829">
        <w:t xml:space="preserve"> the Comm</w:t>
      </w:r>
      <w:r w:rsidR="00086CD7">
        <w:t>ission’s reputation</w:t>
      </w:r>
      <w:r>
        <w:t xml:space="preserve">.  </w:t>
      </w:r>
      <w:r w:rsidR="00AD1829">
        <w:t xml:space="preserve">Barring that, we hope that at least one of the Republican commissioners come to recognize this, and vote against the resulting Order. Otherwise, we have confidence that the DC Circuit will </w:t>
      </w:r>
      <w:r w:rsidR="009E54FD">
        <w:t>agree that</w:t>
      </w:r>
      <w:r w:rsidR="00AD1829">
        <w:t xml:space="preserve"> this as an arbitrary and capricious action, well outside the bounds of </w:t>
      </w:r>
      <w:r w:rsidR="00AD1829" w:rsidRPr="00AD1829">
        <w:rPr>
          <w:i/>
        </w:rPr>
        <w:t>Chevron</w:t>
      </w:r>
      <w:r w:rsidR="00AD1829">
        <w:t xml:space="preserve"> doctrine, and overturn it.</w:t>
      </w:r>
    </w:p>
    <w:p w:rsidR="00001C1A" w:rsidRDefault="00001C1A" w:rsidP="00754902"/>
    <w:p w:rsidR="00001C1A" w:rsidRDefault="00001C1A" w:rsidP="00754902">
      <w:r>
        <w:t>Respectfully Submitted,</w:t>
      </w:r>
    </w:p>
    <w:p w:rsidR="00001C1A" w:rsidRDefault="00001C1A" w:rsidP="00754902">
      <w:r>
        <w:t>Daniel B. Grossman, dba NetAccess Futures.</w:t>
      </w:r>
    </w:p>
    <w:p w:rsidR="00810569" w:rsidRPr="00F24217" w:rsidRDefault="00810569" w:rsidP="00754902"/>
    <w:sectPr w:rsidR="00810569" w:rsidRPr="00F24217" w:rsidSect="00754902">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507C" w:rsidRDefault="00CC507C" w:rsidP="00935823">
      <w:pPr>
        <w:spacing w:after="0" w:line="240" w:lineRule="auto"/>
      </w:pPr>
      <w:r>
        <w:separator/>
      </w:r>
    </w:p>
  </w:endnote>
  <w:endnote w:type="continuationSeparator" w:id="0">
    <w:p w:rsidR="00CC507C" w:rsidRDefault="00CC507C" w:rsidP="00935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Default="001B3C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Pr="00386CBB" w:rsidRDefault="001B3C9D">
    <w:pPr>
      <w:pStyle w:val="Footer"/>
      <w:rPr>
        <w:color w:val="000000" w:themeColor="text1"/>
      </w:rPr>
    </w:pPr>
    <w:r>
      <w:rPr>
        <w:caps/>
        <w:color w:val="000000" w:themeColor="text1"/>
      </w:rPr>
      <w:t>GN14-28</w:t>
    </w:r>
    <w:r w:rsidRPr="00386CBB">
      <w:rPr>
        <w:caps/>
        <w:color w:val="000000" w:themeColor="text1"/>
      </w:rPr>
      <w:ptab w:relativeTo="margin" w:alignment="center" w:leader="none"/>
    </w:r>
    <w:r w:rsidRPr="00386CBB">
      <w:rPr>
        <w:caps/>
        <w:color w:val="000000" w:themeColor="text1"/>
      </w:rPr>
      <w:t xml:space="preserve">Page </w:t>
    </w:r>
    <w:r w:rsidRPr="00386CBB">
      <w:rPr>
        <w:caps/>
        <w:color w:val="000000" w:themeColor="text1"/>
      </w:rPr>
      <w:fldChar w:fldCharType="begin"/>
    </w:r>
    <w:r w:rsidRPr="00386CBB">
      <w:rPr>
        <w:caps/>
        <w:color w:val="000000" w:themeColor="text1"/>
      </w:rPr>
      <w:instrText xml:space="preserve"> PAGE   \* MERGEFORMAT </w:instrText>
    </w:r>
    <w:r w:rsidRPr="00386CBB">
      <w:rPr>
        <w:caps/>
        <w:color w:val="000000" w:themeColor="text1"/>
      </w:rPr>
      <w:fldChar w:fldCharType="separate"/>
    </w:r>
    <w:r w:rsidR="00CC507C">
      <w:rPr>
        <w:caps/>
        <w:noProof/>
        <w:color w:val="000000" w:themeColor="text1"/>
      </w:rPr>
      <w:t>1</w:t>
    </w:r>
    <w:r w:rsidRPr="00386CBB">
      <w:rPr>
        <w:caps/>
        <w:noProof/>
        <w:color w:val="000000" w:themeColor="text1"/>
      </w:rPr>
      <w:fldChar w:fldCharType="end"/>
    </w:r>
    <w:r w:rsidRPr="00386CBB">
      <w:rPr>
        <w:caps/>
        <w:color w:val="000000" w:themeColor="text1"/>
      </w:rPr>
      <w:t xml:space="preserve"> </w:t>
    </w:r>
    <w:r w:rsidRPr="00386CBB">
      <w:rPr>
        <w:caps/>
        <w:color w:val="000000" w:themeColor="text1"/>
      </w:rPr>
      <w:ptab w:relativeTo="margin" w:alignment="right" w:leader="none"/>
    </w:r>
    <w:r w:rsidRPr="00386CBB">
      <w:rPr>
        <w:caps/>
        <w:color w:val="000000" w:themeColor="text1"/>
      </w:rPr>
      <w:t>Netaccess Futures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Default="001B3C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507C" w:rsidRDefault="00CC507C" w:rsidP="00935823">
      <w:pPr>
        <w:spacing w:after="0" w:line="240" w:lineRule="auto"/>
      </w:pPr>
      <w:r>
        <w:separator/>
      </w:r>
    </w:p>
  </w:footnote>
  <w:footnote w:type="continuationSeparator" w:id="0">
    <w:p w:rsidR="00CC507C" w:rsidRDefault="00CC507C" w:rsidP="00935823">
      <w:pPr>
        <w:spacing w:after="0" w:line="240" w:lineRule="auto"/>
      </w:pPr>
      <w:r>
        <w:continuationSeparator/>
      </w:r>
    </w:p>
  </w:footnote>
  <w:footnote w:id="1">
    <w:p w:rsidR="009E54FD" w:rsidRDefault="009E54FD">
      <w:pPr>
        <w:pStyle w:val="FootnoteText"/>
      </w:pPr>
      <w:r>
        <w:rPr>
          <w:rStyle w:val="FootnoteReference"/>
        </w:rPr>
        <w:footnoteRef/>
      </w:r>
      <w:r>
        <w:t xml:space="preserve"> cite</w:t>
      </w:r>
    </w:p>
  </w:footnote>
  <w:footnote w:id="2">
    <w:p w:rsidR="009E54FD" w:rsidRDefault="009E54FD">
      <w:pPr>
        <w:pStyle w:val="FootnoteText"/>
      </w:pPr>
      <w:r>
        <w:rPr>
          <w:rStyle w:val="FootnoteReference"/>
        </w:rPr>
        <w:footnoteRef/>
      </w:r>
      <w:r>
        <w:t xml:space="preserve"> cite</w:t>
      </w:r>
    </w:p>
  </w:footnote>
  <w:footnote w:id="3">
    <w:p w:rsidR="001B3C9D" w:rsidRDefault="001B3C9D">
      <w:pPr>
        <w:pStyle w:val="FootnoteText"/>
      </w:pPr>
      <w:r>
        <w:rPr>
          <w:rStyle w:val="FootnoteReference"/>
        </w:rPr>
        <w:footnoteRef/>
      </w:r>
      <w:r>
        <w:t xml:space="preserve"> Comments of NetAccess Futures, GN 14-28, April 3, 2014 and July 16, 2014</w:t>
      </w:r>
    </w:p>
  </w:footnote>
  <w:footnote w:id="4">
    <w:p w:rsidR="001B3C9D" w:rsidRDefault="001B3C9D">
      <w:pPr>
        <w:pStyle w:val="FootnoteText"/>
      </w:pPr>
      <w:r>
        <w:rPr>
          <w:rStyle w:val="FootnoteReference"/>
        </w:rPr>
        <w:footnoteRef/>
      </w:r>
      <w:r>
        <w:t xml:space="preserve"> Orwell, George, 1984</w:t>
      </w:r>
    </w:p>
  </w:footnote>
  <w:footnote w:id="5">
    <w:p w:rsidR="001B3C9D" w:rsidRDefault="001B3C9D">
      <w:pPr>
        <w:pStyle w:val="FootnoteText"/>
      </w:pPr>
      <w:r>
        <w:rPr>
          <w:rStyle w:val="FootnoteReference"/>
        </w:rPr>
        <w:footnoteRef/>
      </w:r>
      <w:r>
        <w:t xml:space="preserve"> c.f., Netflix comments</w:t>
      </w:r>
    </w:p>
  </w:footnote>
  <w:footnote w:id="6">
    <w:p w:rsidR="001B3C9D" w:rsidRDefault="001B3C9D">
      <w:pPr>
        <w:pStyle w:val="FootnoteText"/>
      </w:pPr>
      <w:r>
        <w:rPr>
          <w:rStyle w:val="FootnoteReference"/>
        </w:rPr>
        <w:footnoteRef/>
      </w:r>
      <w:r>
        <w:t xml:space="preserve"> RFC 1812, RFC 2794 </w:t>
      </w:r>
    </w:p>
  </w:footnote>
  <w:footnote w:id="7">
    <w:p w:rsidR="001B3C9D" w:rsidRDefault="001B3C9D">
      <w:pPr>
        <w:pStyle w:val="FootnoteText"/>
      </w:pPr>
      <w:r>
        <w:rPr>
          <w:rStyle w:val="FootnoteReference"/>
        </w:rPr>
        <w:footnoteRef/>
      </w:r>
      <w:r>
        <w:t xml:space="preserve"> ref Jim Gettys</w:t>
      </w:r>
    </w:p>
  </w:footnote>
  <w:footnote w:id="8">
    <w:p w:rsidR="001B3C9D" w:rsidRDefault="001B3C9D">
      <w:pPr>
        <w:pStyle w:val="FootnoteText"/>
      </w:pPr>
      <w:r>
        <w:rPr>
          <w:rStyle w:val="FootnoteReference"/>
        </w:rPr>
        <w:footnoteRef/>
      </w:r>
      <w:r>
        <w:t xml:space="preserve">  RFC 7141</w:t>
      </w:r>
    </w:p>
  </w:footnote>
  <w:footnote w:id="9">
    <w:p w:rsidR="001B3C9D" w:rsidRDefault="001B3C9D">
      <w:pPr>
        <w:pStyle w:val="FootnoteText"/>
      </w:pPr>
      <w:r>
        <w:rPr>
          <w:rStyle w:val="FootnoteReference"/>
        </w:rPr>
        <w:footnoteRef/>
      </w:r>
      <w:r>
        <w:t xml:space="preserve"> T</w:t>
      </w:r>
      <w:r w:rsidRPr="00D7311F">
        <w:t>he seminal work</w:t>
      </w:r>
      <w:r>
        <w:t xml:space="preserve"> in this area is:  Parekh, A.K.</w:t>
      </w:r>
      <w:r w:rsidRPr="00D7311F">
        <w:t>; Gallager, R.G.  “A generalized processor sharing approach to flow control in integrated services networks-the single node case” IEEE/ACM Transactions on Networking, Volume: 1, Issue: 3 (June, 1993).</w:t>
      </w:r>
      <w:r>
        <w:t xml:space="preserve">  </w:t>
      </w:r>
    </w:p>
  </w:footnote>
  <w:footnote w:id="10">
    <w:p w:rsidR="001B3C9D" w:rsidRDefault="001B3C9D">
      <w:pPr>
        <w:pStyle w:val="FootnoteText"/>
      </w:pPr>
      <w:r>
        <w:rPr>
          <w:rStyle w:val="FootnoteReference"/>
        </w:rPr>
        <w:footnoteRef/>
      </w:r>
      <w:r>
        <w:t xml:space="preserve"> Differences between IP Version 4 and IP Version 6 are not relevant to this discussion</w:t>
      </w:r>
    </w:p>
  </w:footnote>
  <w:footnote w:id="11">
    <w:p w:rsidR="001B3C9D" w:rsidRDefault="001B3C9D">
      <w:pPr>
        <w:pStyle w:val="FootnoteText"/>
      </w:pPr>
      <w:r>
        <w:rPr>
          <w:rStyle w:val="FootnoteReference"/>
        </w:rPr>
        <w:footnoteRef/>
      </w:r>
      <w:r>
        <w:t xml:space="preserve"> RFC 2474, RFC 2475</w:t>
      </w:r>
    </w:p>
  </w:footnote>
  <w:footnote w:id="12">
    <w:p w:rsidR="001B3C9D" w:rsidRDefault="001B3C9D">
      <w:pPr>
        <w:pStyle w:val="FootnoteText"/>
      </w:pPr>
      <w:r>
        <w:rPr>
          <w:rStyle w:val="FootnoteReference"/>
        </w:rPr>
        <w:footnoteRef/>
      </w:r>
      <w:r>
        <w:t xml:space="preserve"> RFC 3168</w:t>
      </w:r>
    </w:p>
  </w:footnote>
  <w:footnote w:id="13">
    <w:p w:rsidR="001B3C9D" w:rsidRDefault="001B3C9D">
      <w:pPr>
        <w:pStyle w:val="FootnoteText"/>
      </w:pPr>
      <w:r>
        <w:rPr>
          <w:rStyle w:val="FootnoteReference"/>
        </w:rPr>
        <w:footnoteRef/>
      </w:r>
      <w:r>
        <w:t xml:space="preserve"> Gettys, infa.</w:t>
      </w:r>
    </w:p>
  </w:footnote>
  <w:footnote w:id="14">
    <w:p w:rsidR="001B3C9D" w:rsidRDefault="001B3C9D">
      <w:pPr>
        <w:pStyle w:val="FootnoteText"/>
      </w:pPr>
      <w:r>
        <w:rPr>
          <w:rStyle w:val="FootnoteReference"/>
        </w:rPr>
        <w:footnoteRef/>
      </w:r>
      <w:r>
        <w:t xml:space="preserve"> cite RFC</w:t>
      </w:r>
    </w:p>
  </w:footnote>
  <w:footnote w:id="15">
    <w:p w:rsidR="001B3C9D" w:rsidRDefault="001B3C9D">
      <w:pPr>
        <w:pStyle w:val="FootnoteText"/>
      </w:pPr>
      <w:r>
        <w:rPr>
          <w:rStyle w:val="FootnoteReference"/>
        </w:rPr>
        <w:footnoteRef/>
      </w:r>
      <w:r>
        <w:t xml:space="preserve"> Bandwidth broker paper;  RFC 4125-4128, RFC 4804</w:t>
      </w:r>
    </w:p>
  </w:footnote>
  <w:footnote w:id="16">
    <w:p w:rsidR="001B3C9D" w:rsidRDefault="001B3C9D">
      <w:pPr>
        <w:pStyle w:val="FootnoteText"/>
      </w:pPr>
      <w:r>
        <w:rPr>
          <w:rStyle w:val="FootnoteReference"/>
        </w:rPr>
        <w:footnoteRef/>
      </w:r>
      <w:r>
        <w:t xml:space="preserve"> Comcast cite, Verizon cite</w:t>
      </w:r>
    </w:p>
  </w:footnote>
  <w:footnote w:id="17">
    <w:p w:rsidR="001B3C9D" w:rsidRDefault="001B3C9D">
      <w:pPr>
        <w:pStyle w:val="FootnoteText"/>
      </w:pPr>
      <w:r>
        <w:rPr>
          <w:rStyle w:val="FootnoteReference"/>
        </w:rPr>
        <w:footnoteRef/>
      </w:r>
      <w:r>
        <w:t xml:space="preserve"> cite HR report, to be published</w:t>
      </w:r>
    </w:p>
  </w:footnote>
  <w:footnote w:id="18">
    <w:p w:rsidR="001B3C9D" w:rsidRDefault="001B3C9D">
      <w:pPr>
        <w:pStyle w:val="FootnoteText"/>
      </w:pPr>
      <w:r>
        <w:rPr>
          <w:rStyle w:val="FootnoteReference"/>
        </w:rPr>
        <w:footnoteRef/>
      </w:r>
      <w:r>
        <w:t xml:space="preserve"> cite Light Reading blog post</w:t>
      </w:r>
    </w:p>
  </w:footnote>
  <w:footnote w:id="19">
    <w:p w:rsidR="001B3C9D" w:rsidRDefault="001B3C9D">
      <w:pPr>
        <w:pStyle w:val="FootnoteText"/>
      </w:pPr>
      <w:r>
        <w:rPr>
          <w:rStyle w:val="FootnoteReference"/>
        </w:rPr>
        <w:footnoteRef/>
      </w:r>
      <w:r>
        <w:t xml:space="preserve"> cite Free Press Comments, July 17 </w:t>
      </w:r>
    </w:p>
  </w:footnote>
  <w:footnote w:id="20">
    <w:p w:rsidR="001B3C9D" w:rsidRDefault="001B3C9D">
      <w:pPr>
        <w:pStyle w:val="FootnoteText"/>
      </w:pPr>
      <w:r>
        <w:rPr>
          <w:rStyle w:val="FootnoteReference"/>
        </w:rPr>
        <w:footnoteRef/>
      </w:r>
      <w:r>
        <w:t xml:space="preserve"> Cite…Light Reading 6/19 AT&amp;T sponsored blog</w:t>
      </w:r>
    </w:p>
  </w:footnote>
  <w:footnote w:id="21">
    <w:p w:rsidR="001B3C9D" w:rsidRDefault="001B3C9D">
      <w:pPr>
        <w:pStyle w:val="FootnoteText"/>
      </w:pPr>
      <w:r>
        <w:rPr>
          <w:rStyle w:val="FootnoteReference"/>
        </w:rPr>
        <w:footnoteRef/>
      </w:r>
      <w:r>
        <w:t xml:space="preserve"> cite</w:t>
      </w:r>
    </w:p>
  </w:footnote>
  <w:footnote w:id="22">
    <w:p w:rsidR="001B3C9D" w:rsidRDefault="001B3C9D">
      <w:pPr>
        <w:pStyle w:val="FootnoteText"/>
      </w:pPr>
      <w:r>
        <w:rPr>
          <w:rStyle w:val="FootnoteReference"/>
        </w:rPr>
        <w:footnoteRef/>
      </w:r>
      <w:r>
        <w:t xml:space="preserve"> Cites for all of these</w:t>
      </w:r>
    </w:p>
  </w:footnote>
  <w:footnote w:id="23">
    <w:p w:rsidR="001B3C9D" w:rsidRDefault="001B3C9D">
      <w:pPr>
        <w:pStyle w:val="FootnoteText"/>
      </w:pPr>
      <w:r>
        <w:rPr>
          <w:rStyle w:val="FootnoteReference"/>
        </w:rPr>
        <w:footnoteRef/>
      </w:r>
      <w:r>
        <w:t xml:space="preserve"> cite</w:t>
      </w:r>
    </w:p>
  </w:footnote>
  <w:footnote w:id="24">
    <w:p w:rsidR="001B3C9D" w:rsidRDefault="001B3C9D">
      <w:pPr>
        <w:pStyle w:val="FootnoteText"/>
      </w:pPr>
      <w:r>
        <w:rPr>
          <w:rStyle w:val="FootnoteReference"/>
        </w:rPr>
        <w:footnoteRef/>
      </w:r>
      <w:r>
        <w:t xml:space="preserve"> cite</w:t>
      </w:r>
    </w:p>
  </w:footnote>
  <w:footnote w:id="25">
    <w:p w:rsidR="001B3C9D" w:rsidRDefault="001B3C9D">
      <w:pPr>
        <w:pStyle w:val="FootnoteText"/>
      </w:pPr>
      <w:r>
        <w:rPr>
          <w:rStyle w:val="FootnoteReference"/>
        </w:rPr>
        <w:footnoteRef/>
      </w:r>
      <w:r>
        <w:t xml:space="preserve"> cite</w:t>
      </w:r>
    </w:p>
  </w:footnote>
  <w:footnote w:id="26">
    <w:p w:rsidR="008F3926" w:rsidRDefault="008F3926">
      <w:pPr>
        <w:pStyle w:val="FootnoteText"/>
      </w:pPr>
      <w:r>
        <w:rPr>
          <w:rStyle w:val="FootnoteReference"/>
        </w:rPr>
        <w:footnoteRef/>
      </w:r>
      <w:r>
        <w:t xml:space="preserve"> cite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Default="001B3C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Default="001B3C9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3C9D" w:rsidRDefault="001B3C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61080"/>
    <w:multiLevelType w:val="hybridMultilevel"/>
    <w:tmpl w:val="828CB7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31389"/>
    <w:multiLevelType w:val="multilevel"/>
    <w:tmpl w:val="48D21FE8"/>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2" w15:restartNumberingAfterBreak="0">
    <w:nsid w:val="10037678"/>
    <w:multiLevelType w:val="hybridMultilevel"/>
    <w:tmpl w:val="3D229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E94FC2"/>
    <w:multiLevelType w:val="hybridMultilevel"/>
    <w:tmpl w:val="F1A87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B0685A"/>
    <w:multiLevelType w:val="hybridMultilevel"/>
    <w:tmpl w:val="2076D922"/>
    <w:lvl w:ilvl="0" w:tplc="4788830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944AA"/>
    <w:multiLevelType w:val="hybridMultilevel"/>
    <w:tmpl w:val="EAF8D1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715593"/>
    <w:multiLevelType w:val="hybridMultilevel"/>
    <w:tmpl w:val="A67A2B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DF4585"/>
    <w:multiLevelType w:val="hybridMultilevel"/>
    <w:tmpl w:val="9EE2BFF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5475C83"/>
    <w:multiLevelType w:val="hybridMultilevel"/>
    <w:tmpl w:val="D1622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6C1668"/>
    <w:multiLevelType w:val="hybridMultilevel"/>
    <w:tmpl w:val="80942F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F349F2"/>
    <w:multiLevelType w:val="hybridMultilevel"/>
    <w:tmpl w:val="29201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5F15C1"/>
    <w:multiLevelType w:val="hybridMultilevel"/>
    <w:tmpl w:val="0AD280A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CE7FC9"/>
    <w:multiLevelType w:val="multilevel"/>
    <w:tmpl w:val="0409001D"/>
    <w:lvl w:ilvl="0">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C275C79"/>
    <w:multiLevelType w:val="hybridMultilevel"/>
    <w:tmpl w:val="C43226D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F2114F2"/>
    <w:multiLevelType w:val="hybridMultilevel"/>
    <w:tmpl w:val="7676319E"/>
    <w:lvl w:ilvl="0" w:tplc="04090019">
      <w:start w:val="1"/>
      <w:numFmt w:val="lowerLetter"/>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41AE7113"/>
    <w:multiLevelType w:val="hybridMultilevel"/>
    <w:tmpl w:val="A67A2B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6B71F4"/>
    <w:multiLevelType w:val="hybridMultilevel"/>
    <w:tmpl w:val="C4522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5B6263"/>
    <w:multiLevelType w:val="hybridMultilevel"/>
    <w:tmpl w:val="6D0A8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005E2D"/>
    <w:multiLevelType w:val="hybridMultilevel"/>
    <w:tmpl w:val="3F66B5C0"/>
    <w:lvl w:ilvl="0" w:tplc="CCFECED0">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A858CE"/>
    <w:multiLevelType w:val="hybridMultilevel"/>
    <w:tmpl w:val="63EE4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4B1B91"/>
    <w:multiLevelType w:val="hybridMultilevel"/>
    <w:tmpl w:val="EE84CF6E"/>
    <w:lvl w:ilvl="0" w:tplc="49EE8DF0">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5D2B54"/>
    <w:multiLevelType w:val="hybridMultilevel"/>
    <w:tmpl w:val="F244A62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0C1F67"/>
    <w:multiLevelType w:val="hybridMultilevel"/>
    <w:tmpl w:val="DFA68C7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647C39"/>
    <w:multiLevelType w:val="hybridMultilevel"/>
    <w:tmpl w:val="F95E50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2173FD"/>
    <w:multiLevelType w:val="hybridMultilevel"/>
    <w:tmpl w:val="FD3A4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4"/>
  </w:num>
  <w:num w:numId="4">
    <w:abstractNumId w:val="13"/>
  </w:num>
  <w:num w:numId="5">
    <w:abstractNumId w:val="8"/>
  </w:num>
  <w:num w:numId="6">
    <w:abstractNumId w:val="11"/>
  </w:num>
  <w:num w:numId="7">
    <w:abstractNumId w:val="22"/>
  </w:num>
  <w:num w:numId="8">
    <w:abstractNumId w:val="23"/>
  </w:num>
  <w:num w:numId="9">
    <w:abstractNumId w:val="7"/>
  </w:num>
  <w:num w:numId="10">
    <w:abstractNumId w:val="20"/>
  </w:num>
  <w:num w:numId="11">
    <w:abstractNumId w:val="12"/>
  </w:num>
  <w:num w:numId="12">
    <w:abstractNumId w:val="18"/>
  </w:num>
  <w:num w:numId="13">
    <w:abstractNumId w:val="4"/>
  </w:num>
  <w:num w:numId="14">
    <w:abstractNumId w:val="12"/>
    <w:lvlOverride w:ilvl="0">
      <w:startOverride w:val="1"/>
    </w:lvlOverride>
  </w:num>
  <w:num w:numId="15">
    <w:abstractNumId w:val="12"/>
    <w:lvlOverride w:ilvl="0">
      <w:startOverride w:val="1"/>
    </w:lvlOverride>
  </w:num>
  <w:num w:numId="16">
    <w:abstractNumId w:val="12"/>
    <w:lvlOverride w:ilvl="0">
      <w:startOverride w:val="1"/>
    </w:lvlOverride>
  </w:num>
  <w:num w:numId="17">
    <w:abstractNumId w:val="18"/>
    <w:lvlOverride w:ilvl="0">
      <w:startOverride w:val="1"/>
    </w:lvlOverride>
  </w:num>
  <w:num w:numId="18">
    <w:abstractNumId w:val="18"/>
    <w:lvlOverride w:ilvl="0">
      <w:startOverride w:val="1"/>
    </w:lvlOverride>
  </w:num>
  <w:num w:numId="19">
    <w:abstractNumId w:val="18"/>
    <w:lvlOverride w:ilvl="0">
      <w:startOverride w:val="1"/>
    </w:lvlOverride>
  </w:num>
  <w:num w:numId="20">
    <w:abstractNumId w:val="18"/>
    <w:lvlOverride w:ilvl="0">
      <w:startOverride w:val="1"/>
    </w:lvlOverride>
  </w:num>
  <w:num w:numId="21">
    <w:abstractNumId w:val="9"/>
  </w:num>
  <w:num w:numId="22">
    <w:abstractNumId w:val="10"/>
  </w:num>
  <w:num w:numId="23">
    <w:abstractNumId w:val="0"/>
  </w:num>
  <w:num w:numId="24">
    <w:abstractNumId w:val="3"/>
  </w:num>
  <w:num w:numId="25">
    <w:abstractNumId w:val="17"/>
  </w:num>
  <w:num w:numId="26">
    <w:abstractNumId w:val="5"/>
  </w:num>
  <w:num w:numId="27">
    <w:abstractNumId w:val="12"/>
    <w:lvlOverride w:ilvl="0">
      <w:startOverride w:val="1"/>
    </w:lvlOverride>
  </w:num>
  <w:num w:numId="28">
    <w:abstractNumId w:val="12"/>
    <w:lvlOverride w:ilvl="0">
      <w:startOverride w:val="1"/>
    </w:lvlOverride>
  </w:num>
  <w:num w:numId="29">
    <w:abstractNumId w:val="12"/>
    <w:lvlOverride w:ilvl="0">
      <w:startOverride w:val="1"/>
    </w:lvlOverride>
  </w:num>
  <w:num w:numId="30">
    <w:abstractNumId w:val="12"/>
  </w:num>
  <w:num w:numId="31">
    <w:abstractNumId w:val="12"/>
    <w:lvlOverride w:ilvl="0">
      <w:startOverride w:val="1"/>
    </w:lvlOverride>
  </w:num>
  <w:num w:numId="32">
    <w:abstractNumId w:val="16"/>
  </w:num>
  <w:num w:numId="33">
    <w:abstractNumId w:val="24"/>
  </w:num>
  <w:num w:numId="34">
    <w:abstractNumId w:val="21"/>
  </w:num>
  <w:num w:numId="35">
    <w:abstractNumId w:val="12"/>
    <w:lvlOverride w:ilvl="0">
      <w:startOverride w:val="1"/>
    </w:lvlOverride>
  </w:num>
  <w:num w:numId="36">
    <w:abstractNumId w:val="2"/>
  </w:num>
  <w:num w:numId="37">
    <w:abstractNumId w:val="19"/>
  </w:num>
  <w:num w:numId="38">
    <w:abstractNumId w:val="12"/>
    <w:lvlOverride w:ilvl="0">
      <w:startOverride w:val="1"/>
    </w:lvlOverride>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5D86"/>
    <w:rsid w:val="0000016C"/>
    <w:rsid w:val="00001C1A"/>
    <w:rsid w:val="00006C59"/>
    <w:rsid w:val="0002466D"/>
    <w:rsid w:val="0003151B"/>
    <w:rsid w:val="0004309B"/>
    <w:rsid w:val="000439B5"/>
    <w:rsid w:val="0004472A"/>
    <w:rsid w:val="000505CE"/>
    <w:rsid w:val="0005423D"/>
    <w:rsid w:val="000545B5"/>
    <w:rsid w:val="000551B7"/>
    <w:rsid w:val="000560E9"/>
    <w:rsid w:val="0006684D"/>
    <w:rsid w:val="00070D0F"/>
    <w:rsid w:val="000716C2"/>
    <w:rsid w:val="00075222"/>
    <w:rsid w:val="00085017"/>
    <w:rsid w:val="00086CD7"/>
    <w:rsid w:val="000A1471"/>
    <w:rsid w:val="000A7C3B"/>
    <w:rsid w:val="000B280D"/>
    <w:rsid w:val="000C0DA8"/>
    <w:rsid w:val="000D0EC1"/>
    <w:rsid w:val="000D19B3"/>
    <w:rsid w:val="000E1698"/>
    <w:rsid w:val="000F01EC"/>
    <w:rsid w:val="000F68C9"/>
    <w:rsid w:val="001018BD"/>
    <w:rsid w:val="0010194D"/>
    <w:rsid w:val="00113A77"/>
    <w:rsid w:val="00125C11"/>
    <w:rsid w:val="001319A6"/>
    <w:rsid w:val="00137C35"/>
    <w:rsid w:val="00140982"/>
    <w:rsid w:val="001472DD"/>
    <w:rsid w:val="00154114"/>
    <w:rsid w:val="00154E79"/>
    <w:rsid w:val="00154E7D"/>
    <w:rsid w:val="00156446"/>
    <w:rsid w:val="00157657"/>
    <w:rsid w:val="00167733"/>
    <w:rsid w:val="00171017"/>
    <w:rsid w:val="00172100"/>
    <w:rsid w:val="001908FA"/>
    <w:rsid w:val="001A0F47"/>
    <w:rsid w:val="001A3561"/>
    <w:rsid w:val="001B1F79"/>
    <w:rsid w:val="001B2B61"/>
    <w:rsid w:val="001B3869"/>
    <w:rsid w:val="001B3C9D"/>
    <w:rsid w:val="001B544B"/>
    <w:rsid w:val="001B6669"/>
    <w:rsid w:val="001C143C"/>
    <w:rsid w:val="001C1BD2"/>
    <w:rsid w:val="001C2D70"/>
    <w:rsid w:val="001D1507"/>
    <w:rsid w:val="001D5A72"/>
    <w:rsid w:val="001D5D3A"/>
    <w:rsid w:val="001D5FC4"/>
    <w:rsid w:val="001E0A6A"/>
    <w:rsid w:val="001F1BA8"/>
    <w:rsid w:val="001F398E"/>
    <w:rsid w:val="00200A09"/>
    <w:rsid w:val="00220D01"/>
    <w:rsid w:val="00224BE9"/>
    <w:rsid w:val="00225AA2"/>
    <w:rsid w:val="0023098B"/>
    <w:rsid w:val="00233D48"/>
    <w:rsid w:val="00237ABF"/>
    <w:rsid w:val="002428EB"/>
    <w:rsid w:val="0024546C"/>
    <w:rsid w:val="00250F2A"/>
    <w:rsid w:val="00252A7F"/>
    <w:rsid w:val="00253F24"/>
    <w:rsid w:val="00260D37"/>
    <w:rsid w:val="00263B0B"/>
    <w:rsid w:val="00266ED0"/>
    <w:rsid w:val="00266FF8"/>
    <w:rsid w:val="00276612"/>
    <w:rsid w:val="00286AAA"/>
    <w:rsid w:val="0029145C"/>
    <w:rsid w:val="00291CD5"/>
    <w:rsid w:val="002925BA"/>
    <w:rsid w:val="002A04B6"/>
    <w:rsid w:val="002A066C"/>
    <w:rsid w:val="002A4580"/>
    <w:rsid w:val="002A5F4E"/>
    <w:rsid w:val="002B2E38"/>
    <w:rsid w:val="002C0CE1"/>
    <w:rsid w:val="002C1B70"/>
    <w:rsid w:val="002C36E3"/>
    <w:rsid w:val="002D17FD"/>
    <w:rsid w:val="002D58B1"/>
    <w:rsid w:val="002E1B34"/>
    <w:rsid w:val="002E679C"/>
    <w:rsid w:val="002F15F3"/>
    <w:rsid w:val="002F3408"/>
    <w:rsid w:val="002F3FD7"/>
    <w:rsid w:val="0030380D"/>
    <w:rsid w:val="00314C9E"/>
    <w:rsid w:val="00327DDE"/>
    <w:rsid w:val="00340E78"/>
    <w:rsid w:val="00344B08"/>
    <w:rsid w:val="00351B45"/>
    <w:rsid w:val="003521F2"/>
    <w:rsid w:val="00353271"/>
    <w:rsid w:val="00361F44"/>
    <w:rsid w:val="003626B1"/>
    <w:rsid w:val="003778AE"/>
    <w:rsid w:val="00385B30"/>
    <w:rsid w:val="00386CBB"/>
    <w:rsid w:val="0039141C"/>
    <w:rsid w:val="00393A12"/>
    <w:rsid w:val="003974B5"/>
    <w:rsid w:val="003A4563"/>
    <w:rsid w:val="003A4BC8"/>
    <w:rsid w:val="003B797F"/>
    <w:rsid w:val="003C07B7"/>
    <w:rsid w:val="003D20AF"/>
    <w:rsid w:val="003D31CA"/>
    <w:rsid w:val="003D6945"/>
    <w:rsid w:val="003E00F1"/>
    <w:rsid w:val="003F234C"/>
    <w:rsid w:val="003F6925"/>
    <w:rsid w:val="003F6F54"/>
    <w:rsid w:val="00402267"/>
    <w:rsid w:val="00421252"/>
    <w:rsid w:val="0042257D"/>
    <w:rsid w:val="00437A17"/>
    <w:rsid w:val="00441936"/>
    <w:rsid w:val="00445D1E"/>
    <w:rsid w:val="00445E25"/>
    <w:rsid w:val="004501CB"/>
    <w:rsid w:val="00450726"/>
    <w:rsid w:val="0046066A"/>
    <w:rsid w:val="00465140"/>
    <w:rsid w:val="00470562"/>
    <w:rsid w:val="00480F91"/>
    <w:rsid w:val="004B21CA"/>
    <w:rsid w:val="004B2A3D"/>
    <w:rsid w:val="004B568F"/>
    <w:rsid w:val="004B6E92"/>
    <w:rsid w:val="004C1976"/>
    <w:rsid w:val="004C2051"/>
    <w:rsid w:val="004C375C"/>
    <w:rsid w:val="004C5D86"/>
    <w:rsid w:val="004C6ED3"/>
    <w:rsid w:val="004D1A66"/>
    <w:rsid w:val="004D3BD9"/>
    <w:rsid w:val="004D6C51"/>
    <w:rsid w:val="004D7D56"/>
    <w:rsid w:val="004E08DB"/>
    <w:rsid w:val="004E2760"/>
    <w:rsid w:val="004E438E"/>
    <w:rsid w:val="004E6283"/>
    <w:rsid w:val="004F043B"/>
    <w:rsid w:val="004F22D6"/>
    <w:rsid w:val="004F5D03"/>
    <w:rsid w:val="00504D47"/>
    <w:rsid w:val="00524A99"/>
    <w:rsid w:val="005260C5"/>
    <w:rsid w:val="00535AEB"/>
    <w:rsid w:val="00536B09"/>
    <w:rsid w:val="005373F6"/>
    <w:rsid w:val="00543310"/>
    <w:rsid w:val="00545D0B"/>
    <w:rsid w:val="0054671E"/>
    <w:rsid w:val="00552D94"/>
    <w:rsid w:val="005564DC"/>
    <w:rsid w:val="00564481"/>
    <w:rsid w:val="00571B4F"/>
    <w:rsid w:val="00577D87"/>
    <w:rsid w:val="00583C7A"/>
    <w:rsid w:val="005A3B66"/>
    <w:rsid w:val="005A6845"/>
    <w:rsid w:val="005B2B56"/>
    <w:rsid w:val="005B48EA"/>
    <w:rsid w:val="005C375B"/>
    <w:rsid w:val="005C5A3D"/>
    <w:rsid w:val="005E24B2"/>
    <w:rsid w:val="005E5FDF"/>
    <w:rsid w:val="005E66C2"/>
    <w:rsid w:val="005F1552"/>
    <w:rsid w:val="005F19E5"/>
    <w:rsid w:val="005F253D"/>
    <w:rsid w:val="00613C53"/>
    <w:rsid w:val="0061700A"/>
    <w:rsid w:val="00622A8D"/>
    <w:rsid w:val="0062382A"/>
    <w:rsid w:val="006344F6"/>
    <w:rsid w:val="0063471E"/>
    <w:rsid w:val="006375C9"/>
    <w:rsid w:val="00644053"/>
    <w:rsid w:val="00645628"/>
    <w:rsid w:val="006555CF"/>
    <w:rsid w:val="00660A0D"/>
    <w:rsid w:val="006629C1"/>
    <w:rsid w:val="00662B52"/>
    <w:rsid w:val="00667CC2"/>
    <w:rsid w:val="00670E35"/>
    <w:rsid w:val="0067470B"/>
    <w:rsid w:val="00677FB1"/>
    <w:rsid w:val="0069488A"/>
    <w:rsid w:val="006A3592"/>
    <w:rsid w:val="006B2306"/>
    <w:rsid w:val="006B2413"/>
    <w:rsid w:val="006C61D9"/>
    <w:rsid w:val="006D3D83"/>
    <w:rsid w:val="006D5A61"/>
    <w:rsid w:val="006D7B8F"/>
    <w:rsid w:val="006E09F4"/>
    <w:rsid w:val="006E0B4B"/>
    <w:rsid w:val="006E5796"/>
    <w:rsid w:val="006E7B65"/>
    <w:rsid w:val="006F1D8C"/>
    <w:rsid w:val="006F69F9"/>
    <w:rsid w:val="00705B01"/>
    <w:rsid w:val="00706EF5"/>
    <w:rsid w:val="00715587"/>
    <w:rsid w:val="00717B9E"/>
    <w:rsid w:val="00723AC2"/>
    <w:rsid w:val="007244AA"/>
    <w:rsid w:val="007335A2"/>
    <w:rsid w:val="00735E10"/>
    <w:rsid w:val="00742C14"/>
    <w:rsid w:val="00742EEF"/>
    <w:rsid w:val="007446F1"/>
    <w:rsid w:val="007464D2"/>
    <w:rsid w:val="007475E6"/>
    <w:rsid w:val="00751DF2"/>
    <w:rsid w:val="00754902"/>
    <w:rsid w:val="00755748"/>
    <w:rsid w:val="007565CD"/>
    <w:rsid w:val="00767604"/>
    <w:rsid w:val="00770681"/>
    <w:rsid w:val="00785A95"/>
    <w:rsid w:val="0078675A"/>
    <w:rsid w:val="00797CD9"/>
    <w:rsid w:val="007A7E8F"/>
    <w:rsid w:val="007B3107"/>
    <w:rsid w:val="007B3FB9"/>
    <w:rsid w:val="007B4239"/>
    <w:rsid w:val="007C380C"/>
    <w:rsid w:val="007C568F"/>
    <w:rsid w:val="007D5D9C"/>
    <w:rsid w:val="007D61DD"/>
    <w:rsid w:val="007D7CA5"/>
    <w:rsid w:val="007E1D98"/>
    <w:rsid w:val="007E2B82"/>
    <w:rsid w:val="007F34A8"/>
    <w:rsid w:val="007F639B"/>
    <w:rsid w:val="00804713"/>
    <w:rsid w:val="00810569"/>
    <w:rsid w:val="008119BD"/>
    <w:rsid w:val="008331B5"/>
    <w:rsid w:val="0083638F"/>
    <w:rsid w:val="0085752B"/>
    <w:rsid w:val="00860405"/>
    <w:rsid w:val="008628E2"/>
    <w:rsid w:val="008656A9"/>
    <w:rsid w:val="008663ED"/>
    <w:rsid w:val="00871D81"/>
    <w:rsid w:val="0089008E"/>
    <w:rsid w:val="00895546"/>
    <w:rsid w:val="00895BD5"/>
    <w:rsid w:val="008A3601"/>
    <w:rsid w:val="008A5FD3"/>
    <w:rsid w:val="008A7AC7"/>
    <w:rsid w:val="008B365E"/>
    <w:rsid w:val="008B779B"/>
    <w:rsid w:val="008C23E7"/>
    <w:rsid w:val="008C6D96"/>
    <w:rsid w:val="008D5F00"/>
    <w:rsid w:val="008E0BF5"/>
    <w:rsid w:val="008E124E"/>
    <w:rsid w:val="008E64A1"/>
    <w:rsid w:val="008F1CA3"/>
    <w:rsid w:val="008F338A"/>
    <w:rsid w:val="008F3926"/>
    <w:rsid w:val="008F64F5"/>
    <w:rsid w:val="00900063"/>
    <w:rsid w:val="00901FE1"/>
    <w:rsid w:val="00914B13"/>
    <w:rsid w:val="00914C08"/>
    <w:rsid w:val="00915362"/>
    <w:rsid w:val="00915A6A"/>
    <w:rsid w:val="00923C72"/>
    <w:rsid w:val="009341F8"/>
    <w:rsid w:val="00935823"/>
    <w:rsid w:val="00944696"/>
    <w:rsid w:val="0095124B"/>
    <w:rsid w:val="00952E9C"/>
    <w:rsid w:val="00953EEC"/>
    <w:rsid w:val="00955D43"/>
    <w:rsid w:val="0095640A"/>
    <w:rsid w:val="00957CB2"/>
    <w:rsid w:val="00964930"/>
    <w:rsid w:val="00971991"/>
    <w:rsid w:val="00972820"/>
    <w:rsid w:val="009750A3"/>
    <w:rsid w:val="00980780"/>
    <w:rsid w:val="00980C5B"/>
    <w:rsid w:val="00982F2D"/>
    <w:rsid w:val="0098312F"/>
    <w:rsid w:val="00985139"/>
    <w:rsid w:val="009877F1"/>
    <w:rsid w:val="00990721"/>
    <w:rsid w:val="009A4576"/>
    <w:rsid w:val="009A756B"/>
    <w:rsid w:val="009B2CD1"/>
    <w:rsid w:val="009B3B26"/>
    <w:rsid w:val="009B53F4"/>
    <w:rsid w:val="009B6760"/>
    <w:rsid w:val="009C48EE"/>
    <w:rsid w:val="009E120D"/>
    <w:rsid w:val="009E54FD"/>
    <w:rsid w:val="009E69DB"/>
    <w:rsid w:val="00A00C86"/>
    <w:rsid w:val="00A02D90"/>
    <w:rsid w:val="00A147CB"/>
    <w:rsid w:val="00A14B23"/>
    <w:rsid w:val="00A216D3"/>
    <w:rsid w:val="00A267C6"/>
    <w:rsid w:val="00A275C4"/>
    <w:rsid w:val="00A27AFE"/>
    <w:rsid w:val="00A30EAA"/>
    <w:rsid w:val="00A34C2C"/>
    <w:rsid w:val="00A40D54"/>
    <w:rsid w:val="00A4115D"/>
    <w:rsid w:val="00A41B68"/>
    <w:rsid w:val="00A46106"/>
    <w:rsid w:val="00A46576"/>
    <w:rsid w:val="00A52255"/>
    <w:rsid w:val="00A56252"/>
    <w:rsid w:val="00A63E2A"/>
    <w:rsid w:val="00A66558"/>
    <w:rsid w:val="00A7471A"/>
    <w:rsid w:val="00A75324"/>
    <w:rsid w:val="00A77F0E"/>
    <w:rsid w:val="00A84EB7"/>
    <w:rsid w:val="00A93CFB"/>
    <w:rsid w:val="00A9444F"/>
    <w:rsid w:val="00A94A20"/>
    <w:rsid w:val="00A963A2"/>
    <w:rsid w:val="00AA7A91"/>
    <w:rsid w:val="00AB2385"/>
    <w:rsid w:val="00AB6453"/>
    <w:rsid w:val="00AC05BA"/>
    <w:rsid w:val="00AC781B"/>
    <w:rsid w:val="00AD067E"/>
    <w:rsid w:val="00AD1829"/>
    <w:rsid w:val="00B024FE"/>
    <w:rsid w:val="00B076BE"/>
    <w:rsid w:val="00B138E6"/>
    <w:rsid w:val="00B143CB"/>
    <w:rsid w:val="00B16BEE"/>
    <w:rsid w:val="00B2015C"/>
    <w:rsid w:val="00B23CAA"/>
    <w:rsid w:val="00B4347F"/>
    <w:rsid w:val="00B45979"/>
    <w:rsid w:val="00B55744"/>
    <w:rsid w:val="00B6030D"/>
    <w:rsid w:val="00B6233B"/>
    <w:rsid w:val="00B6354F"/>
    <w:rsid w:val="00B6603E"/>
    <w:rsid w:val="00B66BCF"/>
    <w:rsid w:val="00B66C98"/>
    <w:rsid w:val="00B67159"/>
    <w:rsid w:val="00B72E27"/>
    <w:rsid w:val="00B740CF"/>
    <w:rsid w:val="00B74A98"/>
    <w:rsid w:val="00B752EC"/>
    <w:rsid w:val="00B84A7C"/>
    <w:rsid w:val="00B87D8F"/>
    <w:rsid w:val="00BB2A05"/>
    <w:rsid w:val="00BB3387"/>
    <w:rsid w:val="00BB3E80"/>
    <w:rsid w:val="00BB536C"/>
    <w:rsid w:val="00BC1091"/>
    <w:rsid w:val="00BC1373"/>
    <w:rsid w:val="00BC3874"/>
    <w:rsid w:val="00BC5739"/>
    <w:rsid w:val="00BD1EC2"/>
    <w:rsid w:val="00BD48F8"/>
    <w:rsid w:val="00BD5D87"/>
    <w:rsid w:val="00BE0F44"/>
    <w:rsid w:val="00BE2F07"/>
    <w:rsid w:val="00C00429"/>
    <w:rsid w:val="00C03B6D"/>
    <w:rsid w:val="00C03EE0"/>
    <w:rsid w:val="00C0707B"/>
    <w:rsid w:val="00C11EAF"/>
    <w:rsid w:val="00C16A54"/>
    <w:rsid w:val="00C446AB"/>
    <w:rsid w:val="00C455EF"/>
    <w:rsid w:val="00C541DA"/>
    <w:rsid w:val="00C55610"/>
    <w:rsid w:val="00C57A31"/>
    <w:rsid w:val="00C605FF"/>
    <w:rsid w:val="00C6217B"/>
    <w:rsid w:val="00C638FE"/>
    <w:rsid w:val="00C65947"/>
    <w:rsid w:val="00C67A14"/>
    <w:rsid w:val="00C72BDE"/>
    <w:rsid w:val="00C754B4"/>
    <w:rsid w:val="00C81D30"/>
    <w:rsid w:val="00C85237"/>
    <w:rsid w:val="00C91158"/>
    <w:rsid w:val="00CA3B49"/>
    <w:rsid w:val="00CA7131"/>
    <w:rsid w:val="00CB0BDB"/>
    <w:rsid w:val="00CB22A8"/>
    <w:rsid w:val="00CB5847"/>
    <w:rsid w:val="00CC3312"/>
    <w:rsid w:val="00CC507C"/>
    <w:rsid w:val="00CD3381"/>
    <w:rsid w:val="00CE08EB"/>
    <w:rsid w:val="00CE52D1"/>
    <w:rsid w:val="00CF37A5"/>
    <w:rsid w:val="00CF6DAE"/>
    <w:rsid w:val="00CF6DB2"/>
    <w:rsid w:val="00D0151B"/>
    <w:rsid w:val="00D022F0"/>
    <w:rsid w:val="00D17028"/>
    <w:rsid w:val="00D1726F"/>
    <w:rsid w:val="00D17714"/>
    <w:rsid w:val="00D20825"/>
    <w:rsid w:val="00D22284"/>
    <w:rsid w:val="00D22EB3"/>
    <w:rsid w:val="00D31D60"/>
    <w:rsid w:val="00D36DE1"/>
    <w:rsid w:val="00D36DE7"/>
    <w:rsid w:val="00D42A98"/>
    <w:rsid w:val="00D66C92"/>
    <w:rsid w:val="00D6791E"/>
    <w:rsid w:val="00D7311F"/>
    <w:rsid w:val="00D831DE"/>
    <w:rsid w:val="00D83811"/>
    <w:rsid w:val="00D91590"/>
    <w:rsid w:val="00D91FB6"/>
    <w:rsid w:val="00D95B57"/>
    <w:rsid w:val="00D966D4"/>
    <w:rsid w:val="00DA3B85"/>
    <w:rsid w:val="00DA49A4"/>
    <w:rsid w:val="00DB1E0F"/>
    <w:rsid w:val="00DB4011"/>
    <w:rsid w:val="00DD2F65"/>
    <w:rsid w:val="00DD6987"/>
    <w:rsid w:val="00DD7D91"/>
    <w:rsid w:val="00DD7FD0"/>
    <w:rsid w:val="00DE0B6A"/>
    <w:rsid w:val="00DE452A"/>
    <w:rsid w:val="00E0118E"/>
    <w:rsid w:val="00E036DC"/>
    <w:rsid w:val="00E10D53"/>
    <w:rsid w:val="00E1143F"/>
    <w:rsid w:val="00E1236D"/>
    <w:rsid w:val="00E30B74"/>
    <w:rsid w:val="00E34411"/>
    <w:rsid w:val="00E37670"/>
    <w:rsid w:val="00E52064"/>
    <w:rsid w:val="00E61A48"/>
    <w:rsid w:val="00E66505"/>
    <w:rsid w:val="00E73CFF"/>
    <w:rsid w:val="00E746F3"/>
    <w:rsid w:val="00E82E7B"/>
    <w:rsid w:val="00E85AC4"/>
    <w:rsid w:val="00E87066"/>
    <w:rsid w:val="00EA02C2"/>
    <w:rsid w:val="00EA58E1"/>
    <w:rsid w:val="00EB6A33"/>
    <w:rsid w:val="00EC0811"/>
    <w:rsid w:val="00EC1EAD"/>
    <w:rsid w:val="00EC48DE"/>
    <w:rsid w:val="00EC712F"/>
    <w:rsid w:val="00ED0C47"/>
    <w:rsid w:val="00EE0B79"/>
    <w:rsid w:val="00EE1222"/>
    <w:rsid w:val="00EE1643"/>
    <w:rsid w:val="00EF040E"/>
    <w:rsid w:val="00EF5AC0"/>
    <w:rsid w:val="00EF61A9"/>
    <w:rsid w:val="00F17D91"/>
    <w:rsid w:val="00F20007"/>
    <w:rsid w:val="00F20073"/>
    <w:rsid w:val="00F24217"/>
    <w:rsid w:val="00F259F4"/>
    <w:rsid w:val="00F31538"/>
    <w:rsid w:val="00F33565"/>
    <w:rsid w:val="00F34D9D"/>
    <w:rsid w:val="00F34F88"/>
    <w:rsid w:val="00F3572D"/>
    <w:rsid w:val="00F40428"/>
    <w:rsid w:val="00F406F4"/>
    <w:rsid w:val="00F64442"/>
    <w:rsid w:val="00F70067"/>
    <w:rsid w:val="00F70C74"/>
    <w:rsid w:val="00F72CB2"/>
    <w:rsid w:val="00F80F06"/>
    <w:rsid w:val="00F8333C"/>
    <w:rsid w:val="00FB1998"/>
    <w:rsid w:val="00FB20AA"/>
    <w:rsid w:val="00FB7287"/>
    <w:rsid w:val="00FC00BB"/>
    <w:rsid w:val="00FC2AD5"/>
    <w:rsid w:val="00FC5E87"/>
    <w:rsid w:val="00FC64BE"/>
    <w:rsid w:val="00FC6C09"/>
    <w:rsid w:val="00FD13CA"/>
    <w:rsid w:val="00FD151B"/>
    <w:rsid w:val="00FE1127"/>
    <w:rsid w:val="00FE1B1C"/>
    <w:rsid w:val="00FE58F5"/>
    <w:rsid w:val="00FF12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BABC62-6704-4693-BA38-DA0D694F6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6ED3"/>
    <w:pPr>
      <w:spacing w:line="360" w:lineRule="auto"/>
    </w:pPr>
  </w:style>
  <w:style w:type="paragraph" w:styleId="Heading1">
    <w:name w:val="heading 1"/>
    <w:basedOn w:val="Normal"/>
    <w:next w:val="Normal"/>
    <w:link w:val="Heading1Char"/>
    <w:uiPriority w:val="9"/>
    <w:qFormat/>
    <w:rsid w:val="000A7C3B"/>
    <w:pPr>
      <w:keepNext/>
      <w:keepLines/>
      <w:numPr>
        <w:numId w:val="39"/>
      </w:numPr>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autoRedefine/>
    <w:uiPriority w:val="9"/>
    <w:unhideWhenUsed/>
    <w:qFormat/>
    <w:rsid w:val="00CB22A8"/>
    <w:pPr>
      <w:numPr>
        <w:ilvl w:val="1"/>
        <w:numId w:val="39"/>
      </w:numPr>
      <w:spacing w:before="120" w:after="0"/>
      <w:outlineLvl w:val="1"/>
    </w:pPr>
    <w:rPr>
      <w:b/>
      <w:bCs/>
    </w:rPr>
  </w:style>
  <w:style w:type="paragraph" w:styleId="Heading3">
    <w:name w:val="heading 3"/>
    <w:basedOn w:val="Normal"/>
    <w:next w:val="Normal"/>
    <w:link w:val="Heading3Char"/>
    <w:uiPriority w:val="9"/>
    <w:unhideWhenUsed/>
    <w:qFormat/>
    <w:rsid w:val="000A7C3B"/>
    <w:pPr>
      <w:keepNext/>
      <w:keepLines/>
      <w:numPr>
        <w:ilvl w:val="2"/>
        <w:numId w:val="39"/>
      </w:numPr>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unhideWhenUsed/>
    <w:qFormat/>
    <w:rsid w:val="000A7C3B"/>
    <w:pPr>
      <w:keepNext/>
      <w:keepLines/>
      <w:numPr>
        <w:ilvl w:val="3"/>
        <w:numId w:val="39"/>
      </w:numPr>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0A7C3B"/>
    <w:pPr>
      <w:keepNext/>
      <w:keepLines/>
      <w:numPr>
        <w:ilvl w:val="4"/>
        <w:numId w:val="39"/>
      </w:numPr>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0A7C3B"/>
    <w:pPr>
      <w:keepNext/>
      <w:keepLines/>
      <w:numPr>
        <w:ilvl w:val="5"/>
        <w:numId w:val="39"/>
      </w:numPr>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0A7C3B"/>
    <w:pPr>
      <w:keepNext/>
      <w:keepLines/>
      <w:numPr>
        <w:ilvl w:val="6"/>
        <w:numId w:val="39"/>
      </w:numPr>
      <w:spacing w:before="120" w:after="0"/>
      <w:outlineLvl w:val="6"/>
    </w:pPr>
    <w:rPr>
      <w:i/>
      <w:iCs/>
    </w:rPr>
  </w:style>
  <w:style w:type="paragraph" w:styleId="Heading8">
    <w:name w:val="heading 8"/>
    <w:basedOn w:val="Normal"/>
    <w:next w:val="Normal"/>
    <w:link w:val="Heading8Char"/>
    <w:uiPriority w:val="9"/>
    <w:semiHidden/>
    <w:unhideWhenUsed/>
    <w:qFormat/>
    <w:rsid w:val="000A7C3B"/>
    <w:pPr>
      <w:keepNext/>
      <w:keepLines/>
      <w:numPr>
        <w:ilvl w:val="7"/>
        <w:numId w:val="39"/>
      </w:numPr>
      <w:spacing w:before="120" w:after="0"/>
      <w:outlineLvl w:val="7"/>
    </w:pPr>
    <w:rPr>
      <w:b/>
      <w:bCs/>
    </w:rPr>
  </w:style>
  <w:style w:type="paragraph" w:styleId="Heading9">
    <w:name w:val="heading 9"/>
    <w:basedOn w:val="Normal"/>
    <w:next w:val="Normal"/>
    <w:link w:val="Heading9Char"/>
    <w:uiPriority w:val="9"/>
    <w:semiHidden/>
    <w:unhideWhenUsed/>
    <w:qFormat/>
    <w:rsid w:val="000A7C3B"/>
    <w:pPr>
      <w:keepNext/>
      <w:keepLines/>
      <w:numPr>
        <w:ilvl w:val="8"/>
        <w:numId w:val="39"/>
      </w:numPr>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A7C3B"/>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CB22A8"/>
    <w:rPr>
      <w:b/>
      <w:bCs/>
    </w:rPr>
  </w:style>
  <w:style w:type="paragraph" w:styleId="FootnoteText">
    <w:name w:val="footnote text"/>
    <w:basedOn w:val="Normal"/>
    <w:link w:val="FootnoteTextChar"/>
    <w:uiPriority w:val="99"/>
    <w:unhideWhenUsed/>
    <w:rsid w:val="00935823"/>
    <w:pPr>
      <w:spacing w:after="0" w:line="240" w:lineRule="auto"/>
    </w:pPr>
    <w:rPr>
      <w:sz w:val="20"/>
      <w:szCs w:val="20"/>
    </w:rPr>
  </w:style>
  <w:style w:type="character" w:customStyle="1" w:styleId="FootnoteTextChar">
    <w:name w:val="Footnote Text Char"/>
    <w:basedOn w:val="DefaultParagraphFont"/>
    <w:link w:val="FootnoteText"/>
    <w:uiPriority w:val="99"/>
    <w:rsid w:val="00935823"/>
    <w:rPr>
      <w:sz w:val="20"/>
      <w:szCs w:val="20"/>
    </w:rPr>
  </w:style>
  <w:style w:type="character" w:styleId="FootnoteReference">
    <w:name w:val="footnote reference"/>
    <w:basedOn w:val="DefaultParagraphFont"/>
    <w:uiPriority w:val="99"/>
    <w:semiHidden/>
    <w:unhideWhenUsed/>
    <w:rsid w:val="00935823"/>
    <w:rPr>
      <w:vertAlign w:val="superscript"/>
    </w:rPr>
  </w:style>
  <w:style w:type="paragraph" w:styleId="EndnoteText">
    <w:name w:val="endnote text"/>
    <w:basedOn w:val="Normal"/>
    <w:link w:val="EndnoteTextChar"/>
    <w:uiPriority w:val="99"/>
    <w:semiHidden/>
    <w:unhideWhenUsed/>
    <w:rsid w:val="00E3767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37670"/>
    <w:rPr>
      <w:sz w:val="20"/>
      <w:szCs w:val="20"/>
    </w:rPr>
  </w:style>
  <w:style w:type="character" w:styleId="EndnoteReference">
    <w:name w:val="endnote reference"/>
    <w:basedOn w:val="DefaultParagraphFont"/>
    <w:uiPriority w:val="99"/>
    <w:semiHidden/>
    <w:unhideWhenUsed/>
    <w:rsid w:val="00E37670"/>
    <w:rPr>
      <w:vertAlign w:val="superscript"/>
    </w:rPr>
  </w:style>
  <w:style w:type="character" w:customStyle="1" w:styleId="Heading3Char">
    <w:name w:val="Heading 3 Char"/>
    <w:basedOn w:val="DefaultParagraphFont"/>
    <w:link w:val="Heading3"/>
    <w:uiPriority w:val="9"/>
    <w:rsid w:val="000A7C3B"/>
    <w:rPr>
      <w:rFonts w:asciiTheme="majorHAnsi" w:eastAsiaTheme="majorEastAsia" w:hAnsiTheme="majorHAnsi" w:cstheme="majorBidi"/>
      <w:spacing w:val="4"/>
      <w:sz w:val="24"/>
      <w:szCs w:val="24"/>
    </w:rPr>
  </w:style>
  <w:style w:type="paragraph" w:styleId="ListParagraph">
    <w:name w:val="List Paragraph"/>
    <w:basedOn w:val="Normal"/>
    <w:uiPriority w:val="34"/>
    <w:qFormat/>
    <w:rsid w:val="003521F2"/>
    <w:pPr>
      <w:ind w:left="720"/>
      <w:contextualSpacing/>
    </w:pPr>
  </w:style>
  <w:style w:type="character" w:customStyle="1" w:styleId="Heading4Char">
    <w:name w:val="Heading 4 Char"/>
    <w:basedOn w:val="DefaultParagraphFont"/>
    <w:link w:val="Heading4"/>
    <w:uiPriority w:val="9"/>
    <w:rsid w:val="000A7C3B"/>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0A7C3B"/>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0A7C3B"/>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0A7C3B"/>
    <w:rPr>
      <w:i/>
      <w:iCs/>
    </w:rPr>
  </w:style>
  <w:style w:type="character" w:customStyle="1" w:styleId="Heading8Char">
    <w:name w:val="Heading 8 Char"/>
    <w:basedOn w:val="DefaultParagraphFont"/>
    <w:link w:val="Heading8"/>
    <w:uiPriority w:val="9"/>
    <w:semiHidden/>
    <w:rsid w:val="000A7C3B"/>
    <w:rPr>
      <w:b/>
      <w:bCs/>
    </w:rPr>
  </w:style>
  <w:style w:type="character" w:customStyle="1" w:styleId="Heading9Char">
    <w:name w:val="Heading 9 Char"/>
    <w:basedOn w:val="DefaultParagraphFont"/>
    <w:link w:val="Heading9"/>
    <w:uiPriority w:val="9"/>
    <w:semiHidden/>
    <w:rsid w:val="000A7C3B"/>
    <w:rPr>
      <w:i/>
      <w:iCs/>
    </w:rPr>
  </w:style>
  <w:style w:type="paragraph" w:styleId="Caption">
    <w:name w:val="caption"/>
    <w:basedOn w:val="Normal"/>
    <w:next w:val="Normal"/>
    <w:uiPriority w:val="35"/>
    <w:semiHidden/>
    <w:unhideWhenUsed/>
    <w:qFormat/>
    <w:rsid w:val="000A7C3B"/>
    <w:rPr>
      <w:b/>
      <w:bCs/>
      <w:sz w:val="18"/>
      <w:szCs w:val="18"/>
    </w:rPr>
  </w:style>
  <w:style w:type="paragraph" w:styleId="Title">
    <w:name w:val="Title"/>
    <w:basedOn w:val="Normal"/>
    <w:next w:val="Normal"/>
    <w:link w:val="TitleChar"/>
    <w:uiPriority w:val="10"/>
    <w:qFormat/>
    <w:rsid w:val="000A7C3B"/>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0A7C3B"/>
    <w:rPr>
      <w:rFonts w:asciiTheme="majorHAnsi" w:eastAsiaTheme="majorEastAsia" w:hAnsiTheme="majorHAnsi" w:cstheme="majorBidi"/>
      <w:b/>
      <w:bCs/>
      <w:spacing w:val="-7"/>
      <w:sz w:val="48"/>
      <w:szCs w:val="48"/>
    </w:rPr>
  </w:style>
  <w:style w:type="paragraph" w:styleId="Subtitle">
    <w:name w:val="Subtitle"/>
    <w:basedOn w:val="Normal"/>
    <w:next w:val="Normal"/>
    <w:link w:val="SubtitleChar"/>
    <w:uiPriority w:val="11"/>
    <w:qFormat/>
    <w:rsid w:val="000A7C3B"/>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0A7C3B"/>
    <w:rPr>
      <w:rFonts w:asciiTheme="majorHAnsi" w:eastAsiaTheme="majorEastAsia" w:hAnsiTheme="majorHAnsi" w:cstheme="majorBidi"/>
      <w:sz w:val="24"/>
      <w:szCs w:val="24"/>
    </w:rPr>
  </w:style>
  <w:style w:type="character" w:styleId="Strong">
    <w:name w:val="Strong"/>
    <w:basedOn w:val="DefaultParagraphFont"/>
    <w:uiPriority w:val="22"/>
    <w:qFormat/>
    <w:rsid w:val="000A7C3B"/>
    <w:rPr>
      <w:b/>
      <w:bCs/>
      <w:color w:val="auto"/>
    </w:rPr>
  </w:style>
  <w:style w:type="character" w:styleId="Emphasis">
    <w:name w:val="Emphasis"/>
    <w:basedOn w:val="DefaultParagraphFont"/>
    <w:uiPriority w:val="20"/>
    <w:qFormat/>
    <w:rsid w:val="000A7C3B"/>
    <w:rPr>
      <w:i/>
      <w:iCs/>
      <w:color w:val="auto"/>
    </w:rPr>
  </w:style>
  <w:style w:type="paragraph" w:styleId="NoSpacing">
    <w:name w:val="No Spacing"/>
    <w:uiPriority w:val="1"/>
    <w:qFormat/>
    <w:rsid w:val="000A7C3B"/>
    <w:pPr>
      <w:spacing w:after="0" w:line="240" w:lineRule="auto"/>
    </w:pPr>
  </w:style>
  <w:style w:type="paragraph" w:styleId="Quote">
    <w:name w:val="Quote"/>
    <w:basedOn w:val="Normal"/>
    <w:next w:val="Normal"/>
    <w:link w:val="QuoteChar"/>
    <w:uiPriority w:val="29"/>
    <w:qFormat/>
    <w:rsid w:val="000A7C3B"/>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0A7C3B"/>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0A7C3B"/>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0A7C3B"/>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0A7C3B"/>
    <w:rPr>
      <w:i/>
      <w:iCs/>
      <w:color w:val="auto"/>
    </w:rPr>
  </w:style>
  <w:style w:type="character" w:styleId="IntenseEmphasis">
    <w:name w:val="Intense Emphasis"/>
    <w:basedOn w:val="DefaultParagraphFont"/>
    <w:uiPriority w:val="21"/>
    <w:qFormat/>
    <w:rsid w:val="000A7C3B"/>
    <w:rPr>
      <w:b/>
      <w:bCs/>
      <w:i/>
      <w:iCs/>
      <w:color w:val="auto"/>
    </w:rPr>
  </w:style>
  <w:style w:type="character" w:styleId="SubtleReference">
    <w:name w:val="Subtle Reference"/>
    <w:basedOn w:val="DefaultParagraphFont"/>
    <w:uiPriority w:val="31"/>
    <w:qFormat/>
    <w:rsid w:val="000A7C3B"/>
    <w:rPr>
      <w:smallCaps/>
      <w:color w:val="auto"/>
      <w:u w:val="single" w:color="7F7F7F" w:themeColor="text1" w:themeTint="80"/>
    </w:rPr>
  </w:style>
  <w:style w:type="character" w:styleId="IntenseReference">
    <w:name w:val="Intense Reference"/>
    <w:basedOn w:val="DefaultParagraphFont"/>
    <w:uiPriority w:val="32"/>
    <w:qFormat/>
    <w:rsid w:val="000A7C3B"/>
    <w:rPr>
      <w:b/>
      <w:bCs/>
      <w:smallCaps/>
      <w:color w:val="auto"/>
      <w:u w:val="single"/>
    </w:rPr>
  </w:style>
  <w:style w:type="character" w:styleId="BookTitle">
    <w:name w:val="Book Title"/>
    <w:basedOn w:val="DefaultParagraphFont"/>
    <w:uiPriority w:val="33"/>
    <w:qFormat/>
    <w:rsid w:val="000A7C3B"/>
    <w:rPr>
      <w:b/>
      <w:bCs/>
      <w:smallCaps/>
      <w:color w:val="auto"/>
    </w:rPr>
  </w:style>
  <w:style w:type="paragraph" w:styleId="TOCHeading">
    <w:name w:val="TOC Heading"/>
    <w:basedOn w:val="Heading1"/>
    <w:next w:val="Normal"/>
    <w:uiPriority w:val="39"/>
    <w:unhideWhenUsed/>
    <w:qFormat/>
    <w:rsid w:val="000A7C3B"/>
    <w:pPr>
      <w:numPr>
        <w:numId w:val="0"/>
      </w:numPr>
      <w:outlineLvl w:val="9"/>
    </w:pPr>
  </w:style>
  <w:style w:type="character" w:styleId="Hyperlink">
    <w:name w:val="Hyperlink"/>
    <w:basedOn w:val="DefaultParagraphFont"/>
    <w:uiPriority w:val="99"/>
    <w:unhideWhenUsed/>
    <w:rsid w:val="00C72BDE"/>
    <w:rPr>
      <w:color w:val="0563C1" w:themeColor="hyperlink"/>
      <w:u w:val="single"/>
    </w:rPr>
  </w:style>
  <w:style w:type="character" w:styleId="LineNumber">
    <w:name w:val="line number"/>
    <w:basedOn w:val="DefaultParagraphFont"/>
    <w:uiPriority w:val="99"/>
    <w:semiHidden/>
    <w:unhideWhenUsed/>
    <w:rsid w:val="000A7C3B"/>
  </w:style>
  <w:style w:type="paragraph" w:styleId="Header">
    <w:name w:val="header"/>
    <w:basedOn w:val="Normal"/>
    <w:link w:val="HeaderChar"/>
    <w:uiPriority w:val="99"/>
    <w:unhideWhenUsed/>
    <w:rsid w:val="007549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902"/>
  </w:style>
  <w:style w:type="paragraph" w:styleId="Footer">
    <w:name w:val="footer"/>
    <w:basedOn w:val="Normal"/>
    <w:link w:val="FooterChar"/>
    <w:uiPriority w:val="99"/>
    <w:unhideWhenUsed/>
    <w:rsid w:val="007549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902"/>
  </w:style>
  <w:style w:type="paragraph" w:styleId="NormalWeb">
    <w:name w:val="Normal (Web)"/>
    <w:basedOn w:val="Normal"/>
    <w:uiPriority w:val="99"/>
    <w:semiHidden/>
    <w:unhideWhenUsed/>
    <w:rsid w:val="00715587"/>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rsid w:val="009E54FD"/>
    <w:pPr>
      <w:spacing w:after="100"/>
    </w:pPr>
  </w:style>
  <w:style w:type="paragraph" w:styleId="TOC2">
    <w:name w:val="toc 2"/>
    <w:basedOn w:val="Normal"/>
    <w:next w:val="Normal"/>
    <w:autoRedefine/>
    <w:uiPriority w:val="39"/>
    <w:unhideWhenUsed/>
    <w:rsid w:val="009E54FD"/>
    <w:pPr>
      <w:spacing w:after="100"/>
      <w:ind w:left="220"/>
    </w:pPr>
  </w:style>
  <w:style w:type="paragraph" w:styleId="TOC3">
    <w:name w:val="toc 3"/>
    <w:basedOn w:val="Normal"/>
    <w:next w:val="Normal"/>
    <w:autoRedefine/>
    <w:uiPriority w:val="39"/>
    <w:unhideWhenUsed/>
    <w:rsid w:val="009E54FD"/>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86724">
      <w:bodyDiv w:val="1"/>
      <w:marLeft w:val="0"/>
      <w:marRight w:val="0"/>
      <w:marTop w:val="0"/>
      <w:marBottom w:val="0"/>
      <w:divBdr>
        <w:top w:val="none" w:sz="0" w:space="0" w:color="auto"/>
        <w:left w:val="none" w:sz="0" w:space="0" w:color="auto"/>
        <w:bottom w:val="none" w:sz="0" w:space="0" w:color="auto"/>
        <w:right w:val="none" w:sz="0" w:space="0" w:color="auto"/>
      </w:divBdr>
    </w:div>
    <w:div w:id="322926955">
      <w:bodyDiv w:val="1"/>
      <w:marLeft w:val="0"/>
      <w:marRight w:val="0"/>
      <w:marTop w:val="0"/>
      <w:marBottom w:val="0"/>
      <w:divBdr>
        <w:top w:val="none" w:sz="0" w:space="0" w:color="auto"/>
        <w:left w:val="none" w:sz="0" w:space="0" w:color="auto"/>
        <w:bottom w:val="none" w:sz="0" w:space="0" w:color="auto"/>
        <w:right w:val="none" w:sz="0" w:space="0" w:color="auto"/>
      </w:divBdr>
    </w:div>
    <w:div w:id="579219212">
      <w:bodyDiv w:val="1"/>
      <w:marLeft w:val="0"/>
      <w:marRight w:val="0"/>
      <w:marTop w:val="0"/>
      <w:marBottom w:val="0"/>
      <w:divBdr>
        <w:top w:val="none" w:sz="0" w:space="0" w:color="auto"/>
        <w:left w:val="none" w:sz="0" w:space="0" w:color="auto"/>
        <w:bottom w:val="none" w:sz="0" w:space="0" w:color="auto"/>
        <w:right w:val="none" w:sz="0" w:space="0" w:color="auto"/>
      </w:divBdr>
      <w:divsChild>
        <w:div w:id="2070107680">
          <w:marLeft w:val="0"/>
          <w:marRight w:val="0"/>
          <w:marTop w:val="0"/>
          <w:marBottom w:val="0"/>
          <w:divBdr>
            <w:top w:val="none" w:sz="0" w:space="0" w:color="auto"/>
            <w:left w:val="none" w:sz="0" w:space="0" w:color="auto"/>
            <w:bottom w:val="none" w:sz="0" w:space="0" w:color="auto"/>
            <w:right w:val="none" w:sz="0" w:space="0" w:color="auto"/>
          </w:divBdr>
        </w:div>
      </w:divsChild>
    </w:div>
    <w:div w:id="816730832">
      <w:bodyDiv w:val="1"/>
      <w:marLeft w:val="0"/>
      <w:marRight w:val="0"/>
      <w:marTop w:val="0"/>
      <w:marBottom w:val="0"/>
      <w:divBdr>
        <w:top w:val="none" w:sz="0" w:space="0" w:color="auto"/>
        <w:left w:val="none" w:sz="0" w:space="0" w:color="auto"/>
        <w:bottom w:val="none" w:sz="0" w:space="0" w:color="auto"/>
        <w:right w:val="none" w:sz="0" w:space="0" w:color="auto"/>
      </w:divBdr>
    </w:div>
    <w:div w:id="1000307504">
      <w:bodyDiv w:val="1"/>
      <w:marLeft w:val="0"/>
      <w:marRight w:val="0"/>
      <w:marTop w:val="0"/>
      <w:marBottom w:val="0"/>
      <w:divBdr>
        <w:top w:val="none" w:sz="0" w:space="0" w:color="auto"/>
        <w:left w:val="none" w:sz="0" w:space="0" w:color="auto"/>
        <w:bottom w:val="none" w:sz="0" w:space="0" w:color="auto"/>
        <w:right w:val="none" w:sz="0" w:space="0" w:color="auto"/>
      </w:divBdr>
    </w:div>
    <w:div w:id="1317303596">
      <w:bodyDiv w:val="1"/>
      <w:marLeft w:val="0"/>
      <w:marRight w:val="0"/>
      <w:marTop w:val="0"/>
      <w:marBottom w:val="0"/>
      <w:divBdr>
        <w:top w:val="none" w:sz="0" w:space="0" w:color="auto"/>
        <w:left w:val="none" w:sz="0" w:space="0" w:color="auto"/>
        <w:bottom w:val="none" w:sz="0" w:space="0" w:color="auto"/>
        <w:right w:val="none" w:sz="0" w:space="0" w:color="auto"/>
      </w:divBdr>
    </w:div>
    <w:div w:id="1492019650">
      <w:bodyDiv w:val="1"/>
      <w:marLeft w:val="0"/>
      <w:marRight w:val="0"/>
      <w:marTop w:val="0"/>
      <w:marBottom w:val="0"/>
      <w:divBdr>
        <w:top w:val="none" w:sz="0" w:space="0" w:color="auto"/>
        <w:left w:val="none" w:sz="0" w:space="0" w:color="auto"/>
        <w:bottom w:val="none" w:sz="0" w:space="0" w:color="auto"/>
        <w:right w:val="none" w:sz="0" w:space="0" w:color="auto"/>
      </w:divBdr>
    </w:div>
    <w:div w:id="1517814847">
      <w:bodyDiv w:val="1"/>
      <w:marLeft w:val="0"/>
      <w:marRight w:val="0"/>
      <w:marTop w:val="0"/>
      <w:marBottom w:val="0"/>
      <w:divBdr>
        <w:top w:val="none" w:sz="0" w:space="0" w:color="auto"/>
        <w:left w:val="none" w:sz="0" w:space="0" w:color="auto"/>
        <w:bottom w:val="none" w:sz="0" w:space="0" w:color="auto"/>
        <w:right w:val="none" w:sz="0" w:space="0" w:color="auto"/>
      </w:divBdr>
    </w:div>
    <w:div w:id="1536574569">
      <w:bodyDiv w:val="1"/>
      <w:marLeft w:val="0"/>
      <w:marRight w:val="0"/>
      <w:marTop w:val="0"/>
      <w:marBottom w:val="0"/>
      <w:divBdr>
        <w:top w:val="none" w:sz="0" w:space="0" w:color="auto"/>
        <w:left w:val="none" w:sz="0" w:space="0" w:color="auto"/>
        <w:bottom w:val="none" w:sz="0" w:space="0" w:color="auto"/>
        <w:right w:val="none" w:sz="0" w:space="0" w:color="auto"/>
      </w:divBdr>
    </w:div>
    <w:div w:id="1680304627">
      <w:bodyDiv w:val="1"/>
      <w:marLeft w:val="0"/>
      <w:marRight w:val="0"/>
      <w:marTop w:val="0"/>
      <w:marBottom w:val="0"/>
      <w:divBdr>
        <w:top w:val="none" w:sz="0" w:space="0" w:color="auto"/>
        <w:left w:val="none" w:sz="0" w:space="0" w:color="auto"/>
        <w:bottom w:val="none" w:sz="0" w:space="0" w:color="auto"/>
        <w:right w:val="none" w:sz="0" w:space="0" w:color="auto"/>
      </w:divBdr>
    </w:div>
    <w:div w:id="1846357044">
      <w:bodyDiv w:val="1"/>
      <w:marLeft w:val="0"/>
      <w:marRight w:val="0"/>
      <w:marTop w:val="0"/>
      <w:marBottom w:val="0"/>
      <w:divBdr>
        <w:top w:val="none" w:sz="0" w:space="0" w:color="auto"/>
        <w:left w:val="none" w:sz="0" w:space="0" w:color="auto"/>
        <w:bottom w:val="none" w:sz="0" w:space="0" w:color="auto"/>
        <w:right w:val="none" w:sz="0" w:space="0" w:color="auto"/>
      </w:divBdr>
      <w:divsChild>
        <w:div w:id="638539348">
          <w:marLeft w:val="0"/>
          <w:marRight w:val="0"/>
          <w:marTop w:val="0"/>
          <w:marBottom w:val="0"/>
          <w:divBdr>
            <w:top w:val="none" w:sz="0" w:space="0" w:color="auto"/>
            <w:left w:val="none" w:sz="0" w:space="0" w:color="auto"/>
            <w:bottom w:val="none" w:sz="0" w:space="0" w:color="auto"/>
            <w:right w:val="none" w:sz="0" w:space="0" w:color="auto"/>
          </w:divBdr>
        </w:div>
      </w:divsChild>
    </w:div>
    <w:div w:id="1910337349">
      <w:bodyDiv w:val="1"/>
      <w:marLeft w:val="0"/>
      <w:marRight w:val="0"/>
      <w:marTop w:val="0"/>
      <w:marBottom w:val="0"/>
      <w:divBdr>
        <w:top w:val="none" w:sz="0" w:space="0" w:color="auto"/>
        <w:left w:val="none" w:sz="0" w:space="0" w:color="auto"/>
        <w:bottom w:val="none" w:sz="0" w:space="0" w:color="auto"/>
        <w:right w:val="none" w:sz="0" w:space="0" w:color="auto"/>
      </w:divBdr>
    </w:div>
    <w:div w:id="200658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8680E-B313-4E9B-9DD6-41279B73A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2411</TotalTime>
  <Pages>19</Pages>
  <Words>6037</Words>
  <Characters>34417</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Grossman</dc:creator>
  <cp:keywords/>
  <dc:description/>
  <cp:lastModifiedBy>ldg004@earthlink.net</cp:lastModifiedBy>
  <cp:revision>12</cp:revision>
  <cp:lastPrinted>2014-07-17T21:49:00Z</cp:lastPrinted>
  <dcterms:created xsi:type="dcterms:W3CDTF">2017-08-29T00:10:00Z</dcterms:created>
  <dcterms:modified xsi:type="dcterms:W3CDTF">2017-08-30T16:21:00Z</dcterms:modified>
</cp:coreProperties>
</file>