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791C" w:rsidRPr="006755C0" w:rsidRDefault="00F2791C" w:rsidP="00F2791C">
      <w:pPr>
        <w:jc w:val="center"/>
        <w:rPr>
          <w:b/>
          <w:sz w:val="28"/>
          <w:szCs w:val="28"/>
        </w:rPr>
      </w:pPr>
      <w:r w:rsidRPr="006755C0">
        <w:rPr>
          <w:b/>
          <w:kern w:val="0"/>
          <w:sz w:val="28"/>
          <w:szCs w:val="28"/>
        </w:rPr>
        <w:t>Before</w:t>
      </w:r>
      <w:r w:rsidRPr="006755C0">
        <w:rPr>
          <w:b/>
          <w:sz w:val="28"/>
          <w:szCs w:val="28"/>
        </w:rPr>
        <w:t xml:space="preserve"> the</w:t>
      </w:r>
    </w:p>
    <w:p w:rsidR="00F2791C" w:rsidRPr="006755C0" w:rsidRDefault="00F2791C" w:rsidP="00F2791C">
      <w:pPr>
        <w:jc w:val="center"/>
        <w:rPr>
          <w:b/>
          <w:bCs/>
          <w:caps/>
          <w:sz w:val="28"/>
          <w:szCs w:val="28"/>
        </w:rPr>
      </w:pPr>
      <w:r w:rsidRPr="006755C0">
        <w:rPr>
          <w:b/>
          <w:bCs/>
          <w:caps/>
          <w:sz w:val="28"/>
          <w:szCs w:val="28"/>
        </w:rPr>
        <w:t>F</w:t>
      </w:r>
      <w:r w:rsidRPr="006755C0">
        <w:rPr>
          <w:b/>
          <w:bCs/>
          <w:sz w:val="28"/>
          <w:szCs w:val="28"/>
        </w:rPr>
        <w:t>ederal Communications Commission</w:t>
      </w:r>
    </w:p>
    <w:p w:rsidR="00F2791C" w:rsidRPr="006755C0" w:rsidRDefault="00F2791C" w:rsidP="00F2791C">
      <w:pPr>
        <w:jc w:val="center"/>
        <w:rPr>
          <w:b/>
          <w:bCs/>
          <w:caps/>
          <w:sz w:val="28"/>
          <w:szCs w:val="28"/>
        </w:rPr>
      </w:pPr>
      <w:r w:rsidRPr="006755C0">
        <w:rPr>
          <w:b/>
          <w:bCs/>
          <w:sz w:val="28"/>
          <w:szCs w:val="28"/>
        </w:rPr>
        <w:t>Washington, D.C. 20554</w:t>
      </w:r>
    </w:p>
    <w:p w:rsidR="00F2791C" w:rsidRPr="006755C0" w:rsidRDefault="00F2791C" w:rsidP="00F2791C">
      <w:pPr>
        <w:rPr>
          <w:sz w:val="28"/>
          <w:szCs w:val="28"/>
        </w:rPr>
      </w:pPr>
    </w:p>
    <w:p w:rsidR="00F2791C" w:rsidRPr="006755C0" w:rsidRDefault="00F2791C" w:rsidP="00F2791C">
      <w:pPr>
        <w:rPr>
          <w:sz w:val="28"/>
          <w:szCs w:val="28"/>
        </w:rPr>
      </w:pPr>
    </w:p>
    <w:tbl>
      <w:tblPr>
        <w:tblW w:w="9576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698"/>
        <w:gridCol w:w="630"/>
        <w:gridCol w:w="4248"/>
      </w:tblGrid>
      <w:tr w:rsidR="00F2791C" w:rsidRPr="006755C0" w:rsidTr="00016A81">
        <w:tc>
          <w:tcPr>
            <w:tcW w:w="4698" w:type="dxa"/>
          </w:tcPr>
          <w:p w:rsidR="00F2791C" w:rsidRPr="006755C0" w:rsidRDefault="00F2791C" w:rsidP="00016A81">
            <w:pPr>
              <w:rPr>
                <w:sz w:val="28"/>
                <w:szCs w:val="28"/>
              </w:rPr>
            </w:pPr>
            <w:r w:rsidRPr="006755C0">
              <w:rPr>
                <w:sz w:val="28"/>
                <w:szCs w:val="28"/>
              </w:rPr>
              <w:t>In the Matter of</w:t>
            </w:r>
          </w:p>
          <w:p w:rsidR="00F2791C" w:rsidRPr="006755C0" w:rsidRDefault="00F2791C" w:rsidP="00016A81">
            <w:pPr>
              <w:rPr>
                <w:sz w:val="28"/>
                <w:szCs w:val="28"/>
              </w:rPr>
            </w:pPr>
          </w:p>
          <w:p w:rsidR="00F2791C" w:rsidRPr="006755C0" w:rsidRDefault="00F2791C" w:rsidP="00016A81">
            <w:pPr>
              <w:rPr>
                <w:sz w:val="28"/>
                <w:szCs w:val="28"/>
              </w:rPr>
            </w:pPr>
            <w:r w:rsidRPr="006755C0">
              <w:rPr>
                <w:sz w:val="28"/>
                <w:szCs w:val="28"/>
              </w:rPr>
              <w:t>Restoring Internet Freedom</w:t>
            </w:r>
          </w:p>
        </w:tc>
        <w:tc>
          <w:tcPr>
            <w:tcW w:w="630" w:type="dxa"/>
          </w:tcPr>
          <w:p w:rsidR="00F2791C" w:rsidRPr="006755C0" w:rsidRDefault="00F2791C" w:rsidP="00016A81">
            <w:pPr>
              <w:tabs>
                <w:tab w:val="center" w:pos="4680"/>
              </w:tabs>
              <w:suppressAutoHyphens/>
              <w:rPr>
                <w:b/>
                <w:spacing w:val="-2"/>
                <w:sz w:val="28"/>
                <w:szCs w:val="28"/>
              </w:rPr>
            </w:pPr>
            <w:r w:rsidRPr="006755C0">
              <w:rPr>
                <w:b/>
                <w:spacing w:val="-2"/>
                <w:sz w:val="28"/>
                <w:szCs w:val="28"/>
              </w:rPr>
              <w:t>)</w:t>
            </w:r>
          </w:p>
          <w:p w:rsidR="00F2791C" w:rsidRPr="006755C0" w:rsidRDefault="00F2791C" w:rsidP="00016A81">
            <w:pPr>
              <w:tabs>
                <w:tab w:val="center" w:pos="4680"/>
              </w:tabs>
              <w:suppressAutoHyphens/>
              <w:rPr>
                <w:b/>
                <w:spacing w:val="-2"/>
                <w:sz w:val="28"/>
                <w:szCs w:val="28"/>
              </w:rPr>
            </w:pPr>
            <w:r w:rsidRPr="006755C0">
              <w:rPr>
                <w:b/>
                <w:spacing w:val="-2"/>
                <w:sz w:val="28"/>
                <w:szCs w:val="28"/>
              </w:rPr>
              <w:t>)</w:t>
            </w:r>
          </w:p>
          <w:p w:rsidR="00F2791C" w:rsidRPr="006755C0" w:rsidRDefault="00F2791C" w:rsidP="00016A81">
            <w:pPr>
              <w:tabs>
                <w:tab w:val="center" w:pos="4680"/>
              </w:tabs>
              <w:suppressAutoHyphens/>
              <w:rPr>
                <w:b/>
                <w:spacing w:val="-2"/>
                <w:sz w:val="28"/>
                <w:szCs w:val="28"/>
              </w:rPr>
            </w:pPr>
            <w:r w:rsidRPr="006755C0">
              <w:rPr>
                <w:b/>
                <w:spacing w:val="-2"/>
                <w:sz w:val="28"/>
                <w:szCs w:val="28"/>
              </w:rPr>
              <w:t>)</w:t>
            </w:r>
          </w:p>
        </w:tc>
        <w:tc>
          <w:tcPr>
            <w:tcW w:w="4248" w:type="dxa"/>
          </w:tcPr>
          <w:p w:rsidR="00F2791C" w:rsidRPr="006755C0" w:rsidRDefault="00F2791C" w:rsidP="00016A81">
            <w:pPr>
              <w:rPr>
                <w:sz w:val="28"/>
                <w:szCs w:val="28"/>
              </w:rPr>
            </w:pPr>
          </w:p>
          <w:p w:rsidR="00F2791C" w:rsidRPr="006755C0" w:rsidRDefault="00F2791C" w:rsidP="00016A81">
            <w:pPr>
              <w:rPr>
                <w:sz w:val="28"/>
                <w:szCs w:val="28"/>
              </w:rPr>
            </w:pPr>
          </w:p>
          <w:p w:rsidR="00F2791C" w:rsidRPr="006755C0" w:rsidRDefault="00F2791C" w:rsidP="00016A81">
            <w:pPr>
              <w:rPr>
                <w:sz w:val="28"/>
                <w:szCs w:val="28"/>
              </w:rPr>
            </w:pPr>
            <w:bookmarkStart w:id="0" w:name="_GoBack"/>
            <w:r w:rsidRPr="006755C0">
              <w:rPr>
                <w:sz w:val="28"/>
                <w:szCs w:val="28"/>
              </w:rPr>
              <w:t>WC Docket No. 17-108</w:t>
            </w:r>
            <w:bookmarkEnd w:id="0"/>
          </w:p>
        </w:tc>
      </w:tr>
    </w:tbl>
    <w:p w:rsidR="00F2791C" w:rsidRPr="006755C0" w:rsidRDefault="00F2791C">
      <w:pPr>
        <w:rPr>
          <w:sz w:val="28"/>
          <w:szCs w:val="28"/>
        </w:rPr>
      </w:pPr>
    </w:p>
    <w:p w:rsidR="00F2791C" w:rsidRPr="006755C0" w:rsidRDefault="00F2791C">
      <w:pPr>
        <w:rPr>
          <w:sz w:val="28"/>
          <w:szCs w:val="28"/>
        </w:rPr>
      </w:pPr>
    </w:p>
    <w:p w:rsidR="00F2791C" w:rsidRPr="006755C0" w:rsidRDefault="00F2791C">
      <w:pPr>
        <w:rPr>
          <w:sz w:val="28"/>
          <w:szCs w:val="28"/>
        </w:rPr>
      </w:pPr>
    </w:p>
    <w:p w:rsidR="00F2791C" w:rsidRPr="006755C0" w:rsidRDefault="004D3CDC" w:rsidP="00F2791C">
      <w:pPr>
        <w:widowControl/>
        <w:jc w:val="center"/>
        <w:rPr>
          <w:rFonts w:eastAsia="Calibri"/>
          <w:snapToGrid/>
          <w:kern w:val="0"/>
          <w:sz w:val="28"/>
          <w:szCs w:val="28"/>
        </w:rPr>
      </w:pPr>
      <w:r>
        <w:rPr>
          <w:rFonts w:eastAsia="Calibri"/>
          <w:bCs/>
          <w:snapToGrid/>
          <w:color w:val="000000"/>
          <w:kern w:val="0"/>
          <w:sz w:val="28"/>
          <w:szCs w:val="28"/>
        </w:rPr>
        <w:t xml:space="preserve">REPLY </w:t>
      </w:r>
      <w:r w:rsidR="00F2791C" w:rsidRPr="006755C0">
        <w:rPr>
          <w:rFonts w:eastAsia="Calibri"/>
          <w:bCs/>
          <w:snapToGrid/>
          <w:color w:val="000000"/>
          <w:kern w:val="0"/>
          <w:sz w:val="28"/>
          <w:szCs w:val="28"/>
        </w:rPr>
        <w:t>COMMENT</w:t>
      </w:r>
      <w:r w:rsidR="006755C0" w:rsidRPr="006755C0">
        <w:rPr>
          <w:rFonts w:eastAsia="Calibri"/>
          <w:bCs/>
          <w:snapToGrid/>
          <w:color w:val="000000"/>
          <w:kern w:val="0"/>
          <w:sz w:val="28"/>
          <w:szCs w:val="28"/>
          <w:shd w:val="clear" w:color="auto" w:fill="FFFF00"/>
        </w:rPr>
        <w:t xml:space="preserve"> </w:t>
      </w:r>
    </w:p>
    <w:p w:rsidR="00073461" w:rsidRPr="006755C0" w:rsidRDefault="00073461" w:rsidP="00F2791C">
      <w:pPr>
        <w:widowControl/>
        <w:rPr>
          <w:rFonts w:eastAsia="Calibri"/>
          <w:smallCaps/>
          <w:snapToGrid/>
          <w:color w:val="000000"/>
          <w:kern w:val="0"/>
          <w:sz w:val="28"/>
          <w:szCs w:val="28"/>
        </w:rPr>
      </w:pPr>
    </w:p>
    <w:p w:rsidR="00F2791C" w:rsidRPr="006755C0" w:rsidRDefault="00F2791C">
      <w:pPr>
        <w:rPr>
          <w:sz w:val="28"/>
          <w:szCs w:val="28"/>
        </w:rPr>
      </w:pPr>
    </w:p>
    <w:p w:rsidR="00F2791C" w:rsidRPr="006755C0" w:rsidRDefault="00073461" w:rsidP="006755C0">
      <w:pPr>
        <w:jc w:val="center"/>
        <w:rPr>
          <w:b/>
          <w:sz w:val="28"/>
          <w:szCs w:val="28"/>
        </w:rPr>
      </w:pPr>
      <w:r w:rsidRPr="006755C0">
        <w:rPr>
          <w:b/>
          <w:sz w:val="28"/>
          <w:szCs w:val="28"/>
        </w:rPr>
        <w:t>Introduction</w:t>
      </w:r>
    </w:p>
    <w:p w:rsidR="006755C0" w:rsidRDefault="006755C0" w:rsidP="006755C0">
      <w:pPr>
        <w:rPr>
          <w:sz w:val="28"/>
          <w:szCs w:val="28"/>
        </w:rPr>
      </w:pPr>
    </w:p>
    <w:p w:rsidR="006755C0" w:rsidRPr="006755C0" w:rsidRDefault="006755C0" w:rsidP="006755C0">
      <w:pPr>
        <w:rPr>
          <w:sz w:val="28"/>
          <w:szCs w:val="28"/>
        </w:rPr>
      </w:pPr>
      <w:r w:rsidRPr="006755C0">
        <w:rPr>
          <w:sz w:val="28"/>
          <w:szCs w:val="28"/>
        </w:rPr>
        <w:t>The BroadBand Institute of California (BBIC) respectfully submits the following comments in the above referenced docket</w:t>
      </w:r>
      <w:r w:rsidR="00A517E1">
        <w:rPr>
          <w:sz w:val="28"/>
          <w:szCs w:val="28"/>
        </w:rPr>
        <w:t xml:space="preserve">.  The current rules constitute a reasoned response to the courts’ rulings.  The current rules have not discouraged ISP investment, nor have they adversely affected minority and low-income access to the internet.  It is the loss </w:t>
      </w:r>
      <w:r w:rsidR="00DE2EB8">
        <w:rPr>
          <w:sz w:val="28"/>
          <w:szCs w:val="28"/>
        </w:rPr>
        <w:t xml:space="preserve">of </w:t>
      </w:r>
      <w:r w:rsidR="00A517E1">
        <w:rPr>
          <w:sz w:val="28"/>
          <w:szCs w:val="28"/>
        </w:rPr>
        <w:t xml:space="preserve">the current rules and of Lifeline funding that is </w:t>
      </w:r>
      <w:r w:rsidR="00DE2EB8">
        <w:rPr>
          <w:sz w:val="28"/>
          <w:szCs w:val="28"/>
        </w:rPr>
        <w:t>likely to</w:t>
      </w:r>
      <w:r w:rsidR="00A517E1">
        <w:rPr>
          <w:sz w:val="28"/>
          <w:szCs w:val="28"/>
        </w:rPr>
        <w:t xml:space="preserve"> </w:t>
      </w:r>
      <w:r w:rsidR="00DE2EB8">
        <w:rPr>
          <w:sz w:val="28"/>
          <w:szCs w:val="28"/>
        </w:rPr>
        <w:t>diminish internet access.</w:t>
      </w:r>
    </w:p>
    <w:p w:rsidR="006755C0" w:rsidRPr="006755C0" w:rsidRDefault="006755C0" w:rsidP="006755C0">
      <w:pPr>
        <w:jc w:val="center"/>
        <w:rPr>
          <w:sz w:val="28"/>
          <w:szCs w:val="28"/>
        </w:rPr>
      </w:pPr>
    </w:p>
    <w:p w:rsidR="006755C0" w:rsidRPr="006755C0" w:rsidRDefault="006755C0" w:rsidP="006755C0">
      <w:pPr>
        <w:jc w:val="center"/>
        <w:rPr>
          <w:b/>
          <w:sz w:val="28"/>
          <w:szCs w:val="28"/>
        </w:rPr>
      </w:pPr>
      <w:r w:rsidRPr="006755C0">
        <w:rPr>
          <w:b/>
          <w:sz w:val="28"/>
          <w:szCs w:val="28"/>
        </w:rPr>
        <w:t>Statement Of Interest</w:t>
      </w:r>
    </w:p>
    <w:p w:rsidR="006755C0" w:rsidRPr="006755C0" w:rsidRDefault="006755C0" w:rsidP="006755C0">
      <w:pPr>
        <w:jc w:val="center"/>
        <w:rPr>
          <w:b/>
          <w:sz w:val="28"/>
          <w:szCs w:val="28"/>
        </w:rPr>
      </w:pPr>
    </w:p>
    <w:p w:rsidR="006755C0" w:rsidRPr="006755C0" w:rsidRDefault="006755C0" w:rsidP="006755C0">
      <w:pPr>
        <w:rPr>
          <w:sz w:val="28"/>
          <w:szCs w:val="28"/>
        </w:rPr>
      </w:pPr>
      <w:r w:rsidRPr="006755C0">
        <w:rPr>
          <w:sz w:val="28"/>
          <w:szCs w:val="28"/>
        </w:rPr>
        <w:t xml:space="preserve">The BroadBand Institute of California (BBIC) is a law and public policy institute at the Santa Clara University School of Law engaging in research and education in the areas of technology regulation and public policy.  </w:t>
      </w:r>
    </w:p>
    <w:p w:rsidR="006755C0" w:rsidRPr="006755C0" w:rsidRDefault="006755C0" w:rsidP="006755C0">
      <w:pPr>
        <w:rPr>
          <w:sz w:val="28"/>
          <w:szCs w:val="28"/>
        </w:rPr>
      </w:pPr>
    </w:p>
    <w:p w:rsidR="006755C0" w:rsidRPr="006755C0" w:rsidRDefault="006755C0" w:rsidP="006755C0">
      <w:pPr>
        <w:rPr>
          <w:sz w:val="28"/>
          <w:szCs w:val="28"/>
        </w:rPr>
      </w:pPr>
    </w:p>
    <w:p w:rsidR="009C7154" w:rsidRPr="000850A3" w:rsidRDefault="009C7154" w:rsidP="000850A3">
      <w:pPr>
        <w:pStyle w:val="ListParagraph"/>
        <w:numPr>
          <w:ilvl w:val="0"/>
          <w:numId w:val="2"/>
        </w:numPr>
        <w:rPr>
          <w:b/>
          <w:sz w:val="28"/>
          <w:szCs w:val="28"/>
        </w:rPr>
      </w:pPr>
      <w:r w:rsidRPr="000850A3">
        <w:rPr>
          <w:b/>
          <w:sz w:val="28"/>
          <w:szCs w:val="28"/>
        </w:rPr>
        <w:t>The FCC’s Current Rules Constitute A Reasoned Response To The Courts’ Rulings</w:t>
      </w:r>
    </w:p>
    <w:p w:rsidR="009C7154" w:rsidRPr="006755C0" w:rsidRDefault="009C7154" w:rsidP="009C7154">
      <w:pPr>
        <w:tabs>
          <w:tab w:val="left" w:pos="360"/>
        </w:tabs>
        <w:rPr>
          <w:rFonts w:ascii="Times New Roman Bold" w:hAnsi="Times New Roman Bold"/>
          <w:b/>
          <w:smallCaps/>
          <w:sz w:val="28"/>
          <w:szCs w:val="28"/>
        </w:rPr>
      </w:pPr>
    </w:p>
    <w:p w:rsidR="009C7154" w:rsidRPr="006755C0" w:rsidRDefault="009C7154" w:rsidP="009C7154">
      <w:pPr>
        <w:shd w:val="clear" w:color="auto" w:fill="FFFFFF"/>
        <w:tabs>
          <w:tab w:val="left" w:pos="360"/>
          <w:tab w:val="left" w:pos="450"/>
        </w:tabs>
        <w:spacing w:line="480" w:lineRule="auto"/>
        <w:rPr>
          <w:sz w:val="28"/>
          <w:szCs w:val="28"/>
          <w14:ligatures w14:val="standardContextual"/>
          <w14:numForm w14:val="lining"/>
          <w14:numSpacing w14:val="tabular"/>
          <w14:stylisticSets>
            <w14:styleSet w14:id="1"/>
          </w14:stylisticSets>
        </w:rPr>
      </w:pPr>
      <w:r w:rsidRPr="006755C0">
        <w:rPr>
          <w:sz w:val="28"/>
          <w:szCs w:val="28"/>
          <w:lang w:val="en"/>
        </w:rPr>
        <w:tab/>
        <w:t xml:space="preserve">The </w:t>
      </w:r>
      <w:r w:rsidRPr="006755C0">
        <w:rPr>
          <w:sz w:val="28"/>
          <w:szCs w:val="28"/>
        </w:rPr>
        <w:t>Commission</w:t>
      </w:r>
      <w:r w:rsidRPr="006755C0">
        <w:rPr>
          <w:sz w:val="28"/>
          <w:szCs w:val="28"/>
          <w:lang w:val="en"/>
        </w:rPr>
        <w:t>’s reclassification of</w:t>
      </w:r>
      <w:r w:rsidR="00F607C6" w:rsidRPr="006755C0">
        <w:rPr>
          <w:sz w:val="28"/>
          <w:szCs w:val="28"/>
          <w:lang w:val="en"/>
        </w:rPr>
        <w:t xml:space="preserve"> </w:t>
      </w:r>
      <w:r w:rsidRPr="006755C0">
        <w:rPr>
          <w:sz w:val="28"/>
          <w:szCs w:val="28"/>
          <w:lang w:val="en"/>
        </w:rPr>
        <w:t xml:space="preserve">broadband internet access service providers (BIASPs) as providers of telecommunication services </w:t>
      </w:r>
      <w:r w:rsidR="00F11474" w:rsidRPr="006755C0">
        <w:rPr>
          <w:sz w:val="28"/>
          <w:szCs w:val="28"/>
          <w:lang w:val="en"/>
        </w:rPr>
        <w:t xml:space="preserve">pursuant to </w:t>
      </w:r>
      <w:r w:rsidRPr="006755C0">
        <w:rPr>
          <w:sz w:val="28"/>
          <w:szCs w:val="28"/>
          <w:lang w:val="en"/>
        </w:rPr>
        <w:t xml:space="preserve">Title II </w:t>
      </w:r>
      <w:r w:rsidRPr="006755C0">
        <w:rPr>
          <w:sz w:val="28"/>
          <w:szCs w:val="28"/>
          <w:lang w:val="en"/>
        </w:rPr>
        <w:lastRenderedPageBreak/>
        <w:t xml:space="preserve">correctly followed precedent </w:t>
      </w:r>
      <w:r w:rsidR="00F11474" w:rsidRPr="006755C0">
        <w:rPr>
          <w:sz w:val="28"/>
          <w:szCs w:val="28"/>
          <w:lang w:val="en"/>
        </w:rPr>
        <w:t xml:space="preserve">established by </w:t>
      </w:r>
      <w:r w:rsidRPr="006755C0">
        <w:rPr>
          <w:sz w:val="28"/>
          <w:szCs w:val="28"/>
          <w:lang w:val="en"/>
        </w:rPr>
        <w:t xml:space="preserve">the Courts in </w:t>
      </w:r>
      <w:r w:rsidRPr="006755C0">
        <w:rPr>
          <w:i/>
          <w:sz w:val="28"/>
          <w:szCs w:val="28"/>
          <w:lang w:val="en"/>
        </w:rPr>
        <w:t>Brand X</w:t>
      </w:r>
      <w:r w:rsidRPr="006755C0">
        <w:rPr>
          <w:sz w:val="28"/>
          <w:szCs w:val="28"/>
          <w:lang w:val="en"/>
        </w:rPr>
        <w:t xml:space="preserve"> and </w:t>
      </w:r>
      <w:r w:rsidRPr="006755C0">
        <w:rPr>
          <w:i/>
          <w:sz w:val="28"/>
          <w:szCs w:val="28"/>
          <w:lang w:val="en"/>
        </w:rPr>
        <w:t>Verizon</w:t>
      </w:r>
      <w:r w:rsidR="00F11474" w:rsidRPr="006755C0">
        <w:rPr>
          <w:i/>
          <w:sz w:val="28"/>
          <w:szCs w:val="28"/>
          <w:lang w:val="en"/>
        </w:rPr>
        <w:t>.</w:t>
      </w:r>
      <w:r w:rsidR="00DE2EB8">
        <w:rPr>
          <w:rStyle w:val="FootnoteReference"/>
          <w:i/>
          <w:sz w:val="28"/>
          <w:szCs w:val="28"/>
          <w:lang w:val="en"/>
        </w:rPr>
        <w:footnoteReference w:id="1"/>
      </w:r>
      <w:r w:rsidRPr="006755C0">
        <w:rPr>
          <w:sz w:val="28"/>
          <w:szCs w:val="28"/>
          <w:lang w:val="en"/>
        </w:rPr>
        <w:t xml:space="preserve"> </w:t>
      </w:r>
      <w:r w:rsidR="007F7EB0">
        <w:rPr>
          <w:sz w:val="28"/>
          <w:szCs w:val="28"/>
          <w:lang w:val="en"/>
        </w:rPr>
        <w:t>The question of w</w:t>
      </w:r>
      <w:r w:rsidRPr="006755C0">
        <w:rPr>
          <w:sz w:val="28"/>
          <w:szCs w:val="28"/>
          <w:lang w:val="en"/>
        </w:rPr>
        <w:t xml:space="preserve">hether the </w:t>
      </w:r>
      <w:r w:rsidRPr="006755C0">
        <w:rPr>
          <w:sz w:val="28"/>
          <w:szCs w:val="28"/>
        </w:rPr>
        <w:t>Commission</w:t>
      </w:r>
      <w:r w:rsidRPr="006755C0">
        <w:rPr>
          <w:sz w:val="28"/>
          <w:szCs w:val="28"/>
          <w:lang w:val="en"/>
        </w:rPr>
        <w:t xml:space="preserve"> had the authority to classify BIASPs as information or telecommunication service providers first </w:t>
      </w:r>
      <w:r w:rsidR="00F11474" w:rsidRPr="006755C0">
        <w:rPr>
          <w:sz w:val="28"/>
          <w:szCs w:val="28"/>
          <w:lang w:val="en"/>
        </w:rPr>
        <w:t xml:space="preserve">surfaced as an </w:t>
      </w:r>
      <w:r w:rsidRPr="006755C0">
        <w:rPr>
          <w:sz w:val="28"/>
          <w:szCs w:val="28"/>
          <w:lang w:val="en"/>
        </w:rPr>
        <w:t>issue following the 2002 Declaratory Ruling</w:t>
      </w:r>
      <w:r w:rsidR="007F7EB0">
        <w:rPr>
          <w:sz w:val="28"/>
          <w:szCs w:val="28"/>
          <w:lang w:val="en"/>
        </w:rPr>
        <w:t>.</w:t>
      </w:r>
      <w:r w:rsidRPr="006755C0">
        <w:rPr>
          <w:sz w:val="28"/>
          <w:szCs w:val="28"/>
          <w:vertAlign w:val="superscript"/>
          <w:lang w:val="en"/>
        </w:rPr>
        <w:footnoteReference w:id="2"/>
      </w:r>
      <w:r w:rsidR="007F7EB0">
        <w:rPr>
          <w:sz w:val="28"/>
          <w:szCs w:val="28"/>
          <w:lang w:val="en"/>
        </w:rPr>
        <w:t xml:space="preserve"> In that ruling</w:t>
      </w:r>
      <w:r w:rsidRPr="006755C0">
        <w:rPr>
          <w:sz w:val="28"/>
          <w:szCs w:val="28"/>
          <w:lang w:val="en"/>
        </w:rPr>
        <w:t xml:space="preserve">, the </w:t>
      </w:r>
      <w:r w:rsidRPr="006755C0">
        <w:rPr>
          <w:sz w:val="28"/>
          <w:szCs w:val="28"/>
        </w:rPr>
        <w:t>Commission</w:t>
      </w:r>
      <w:r w:rsidRPr="006755C0">
        <w:rPr>
          <w:sz w:val="28"/>
          <w:szCs w:val="28"/>
          <w:lang w:val="en"/>
        </w:rPr>
        <w:t xml:space="preserve"> determined the provision of broadband Internet access was an information service.</w:t>
      </w:r>
      <w:r w:rsidRPr="006755C0">
        <w:rPr>
          <w:sz w:val="28"/>
          <w:szCs w:val="28"/>
        </w:rPr>
        <w:t xml:space="preserve"> </w:t>
      </w:r>
      <w:r w:rsidRPr="006755C0">
        <w:rPr>
          <w:sz w:val="28"/>
          <w:szCs w:val="28"/>
          <w:lang w:val="en"/>
        </w:rPr>
        <w:t xml:space="preserve">In 2005, the Supreme Court reversed the Ninth Circuit’s decision that cable modem service was a telecommunications service rather than an information service and upheld the Declaratory Ruling in </w:t>
      </w:r>
      <w:r w:rsidRPr="006755C0">
        <w:rPr>
          <w:i/>
          <w:sz w:val="28"/>
          <w:szCs w:val="28"/>
          <w:lang w:val="en"/>
        </w:rPr>
        <w:t>Brand X</w:t>
      </w:r>
      <w:r w:rsidRPr="006755C0">
        <w:rPr>
          <w:sz w:val="28"/>
          <w:szCs w:val="28"/>
          <w:lang w:val="en"/>
        </w:rPr>
        <w:t xml:space="preserve">. </w:t>
      </w:r>
      <w:r w:rsidRPr="006755C0">
        <w:rPr>
          <w:sz w:val="28"/>
          <w:szCs w:val="28"/>
          <w14:ligatures w14:val="standardContextual"/>
          <w14:numForm w14:val="lining"/>
          <w14:numSpacing w14:val="tabular"/>
          <w14:stylisticSets>
            <w14:styleSet w14:id="1"/>
          </w14:stylisticSets>
        </w:rPr>
        <w:t>The Court held that the word “offering” in the Communications Act’s definitions of “telecommunications service” and “information service” are ambiguous, and that the Commission’s finding that cable modem service is a functionally integrated information service was a permissible, though perhaps not the best, interpretation of the Act.</w:t>
      </w:r>
      <w:r w:rsidRPr="006755C0">
        <w:rPr>
          <w:sz w:val="28"/>
          <w:szCs w:val="28"/>
          <w:vertAlign w:val="superscript"/>
          <w14:ligatures w14:val="standardContextual"/>
          <w14:numForm w14:val="lining"/>
          <w14:numSpacing w14:val="tabular"/>
          <w14:stylisticSets>
            <w14:styleSet w14:id="1"/>
          </w14:stylisticSets>
        </w:rPr>
        <w:footnoteReference w:id="3"/>
      </w:r>
      <w:r w:rsidRPr="006755C0">
        <w:rPr>
          <w:sz w:val="28"/>
          <w:szCs w:val="28"/>
          <w14:ligatures w14:val="standardContextual"/>
          <w14:numForm w14:val="lining"/>
          <w14:numSpacing w14:val="tabular"/>
          <w14:stylisticSets>
            <w14:styleSet w14:id="1"/>
          </w14:stylisticSets>
        </w:rPr>
        <w:t xml:space="preserve">  The current </w:t>
      </w:r>
      <w:r w:rsidRPr="006755C0">
        <w:rPr>
          <w:i/>
          <w:sz w:val="28"/>
          <w:szCs w:val="28"/>
          <w14:ligatures w14:val="standardContextual"/>
          <w14:numForm w14:val="lining"/>
          <w14:numSpacing w14:val="tabular"/>
          <w14:stylisticSets>
            <w14:styleSet w14:id="1"/>
          </w14:stylisticSets>
        </w:rPr>
        <w:t>Order</w:t>
      </w:r>
      <w:r w:rsidRPr="006755C0">
        <w:rPr>
          <w:sz w:val="28"/>
          <w:szCs w:val="28"/>
          <w14:ligatures w14:val="standardContextual"/>
          <w14:numForm w14:val="lining"/>
          <w14:numSpacing w14:val="tabular"/>
          <w14:stylisticSets>
            <w14:styleSet w14:id="1"/>
          </w14:stylisticSets>
        </w:rPr>
        <w:t xml:space="preserve"> simply employs the same authority to interpret the existing ambiguity in light of changed circumstances.  As a result of the </w:t>
      </w:r>
      <w:r w:rsidR="007F7EB0">
        <w:rPr>
          <w:sz w:val="28"/>
          <w:szCs w:val="28"/>
          <w14:ligatures w14:val="standardContextual"/>
          <w14:numForm w14:val="lining"/>
          <w14:numSpacing w14:val="tabular"/>
          <w14:stylisticSets>
            <w14:styleSet w14:id="1"/>
          </w14:stylisticSets>
        </w:rPr>
        <w:t>Commission</w:t>
      </w:r>
      <w:r w:rsidRPr="006755C0">
        <w:rPr>
          <w:sz w:val="28"/>
          <w:szCs w:val="28"/>
          <w14:ligatures w14:val="standardContextual"/>
          <w14:numForm w14:val="lining"/>
          <w14:numSpacing w14:val="tabular"/>
          <w14:stylisticSets>
            <w14:styleSet w14:id="1"/>
          </w14:stylisticSets>
        </w:rPr>
        <w:t>’s updated analysis,</w:t>
      </w:r>
      <w:r w:rsidRPr="006755C0">
        <w:rPr>
          <w:sz w:val="28"/>
          <w:szCs w:val="28"/>
          <w:vertAlign w:val="superscript"/>
          <w14:ligatures w14:val="standardContextual"/>
          <w14:numForm w14:val="lining"/>
          <w14:numSpacing w14:val="tabular"/>
          <w14:stylisticSets>
            <w14:styleSet w14:id="1"/>
          </w14:stylisticSets>
        </w:rPr>
        <w:footnoteReference w:id="4"/>
      </w:r>
      <w:r w:rsidRPr="006755C0">
        <w:rPr>
          <w:sz w:val="28"/>
          <w:szCs w:val="28"/>
          <w14:ligatures w14:val="standardContextual"/>
          <w14:numForm w14:val="lining"/>
          <w14:numSpacing w14:val="tabular"/>
          <w14:stylisticSets>
            <w14:styleSet w14:id="1"/>
          </w14:stylisticSets>
        </w:rPr>
        <w:t xml:space="preserve"> the </w:t>
      </w:r>
      <w:r w:rsidRPr="006755C0">
        <w:rPr>
          <w:sz w:val="28"/>
          <w:szCs w:val="28"/>
        </w:rPr>
        <w:t>Commission</w:t>
      </w:r>
      <w:r w:rsidRPr="006755C0">
        <w:rPr>
          <w:sz w:val="28"/>
          <w:szCs w:val="28"/>
          <w14:ligatures w14:val="standardContextual"/>
          <w14:numForm w14:val="lining"/>
          <w14:numSpacing w14:val="tabular"/>
          <w14:stylisticSets>
            <w14:styleSet w14:id="1"/>
          </w14:stylisticSets>
        </w:rPr>
        <w:t xml:space="preserve"> determined that BIASPs currently offer end-users a telecommunications service. </w:t>
      </w:r>
    </w:p>
    <w:p w:rsidR="00F11474" w:rsidRDefault="009C7154" w:rsidP="009C7154">
      <w:pPr>
        <w:shd w:val="clear" w:color="auto" w:fill="FFFFFF"/>
        <w:tabs>
          <w:tab w:val="left" w:pos="360"/>
          <w:tab w:val="left" w:pos="450"/>
        </w:tabs>
        <w:spacing w:line="480" w:lineRule="auto"/>
        <w:rPr>
          <w:sz w:val="28"/>
          <w:szCs w:val="28"/>
          <w14:ligatures w14:val="standardContextual"/>
          <w14:numForm w14:val="lining"/>
          <w14:numSpacing w14:val="tabular"/>
          <w14:stylisticSets>
            <w14:styleSet w14:id="1"/>
          </w14:stylisticSets>
        </w:rPr>
      </w:pPr>
      <w:r w:rsidRPr="006755C0">
        <w:rPr>
          <w:sz w:val="28"/>
          <w:szCs w:val="28"/>
          <w14:ligatures w14:val="standardContextual"/>
          <w14:numForm w14:val="lining"/>
          <w14:numSpacing w14:val="tabular"/>
          <w14:stylisticSets>
            <w14:styleSet w14:id="1"/>
          </w14:stylisticSets>
        </w:rPr>
        <w:t xml:space="preserve">Reclassifying BIASPs as providers of telecommunications services under Title II, was the appropriate method for applying open and transparent rules to the Internet. </w:t>
      </w:r>
    </w:p>
    <w:p w:rsidR="00F11474" w:rsidRPr="006755C0" w:rsidRDefault="007F7EB0" w:rsidP="000850A3">
      <w:pPr>
        <w:pStyle w:val="Heading1"/>
        <w:numPr>
          <w:ilvl w:val="0"/>
          <w:numId w:val="2"/>
        </w:numPr>
      </w:pPr>
      <w:r>
        <w:lastRenderedPageBreak/>
        <w:t xml:space="preserve">A </w:t>
      </w:r>
      <w:r w:rsidR="00F11474" w:rsidRPr="006755C0">
        <w:t xml:space="preserve">Reliance </w:t>
      </w:r>
      <w:r>
        <w:t>O</w:t>
      </w:r>
      <w:r w:rsidR="00F11474" w:rsidRPr="006755C0">
        <w:t xml:space="preserve">n Section 706 </w:t>
      </w:r>
      <w:r>
        <w:t>I</w:t>
      </w:r>
      <w:r w:rsidR="00F11474" w:rsidRPr="006755C0">
        <w:t xml:space="preserve">s </w:t>
      </w:r>
      <w:r>
        <w:t>M</w:t>
      </w:r>
      <w:r w:rsidR="00F11474" w:rsidRPr="006755C0">
        <w:t>isplaced</w:t>
      </w:r>
    </w:p>
    <w:p w:rsidR="00F11474" w:rsidRPr="006755C0" w:rsidRDefault="00F11474" w:rsidP="00F11474">
      <w:pPr>
        <w:rPr>
          <w:sz w:val="28"/>
          <w:szCs w:val="28"/>
        </w:rPr>
      </w:pPr>
    </w:p>
    <w:p w:rsidR="009C7154" w:rsidRDefault="007F7EB0" w:rsidP="009C7154">
      <w:pPr>
        <w:shd w:val="clear" w:color="auto" w:fill="FFFFFF"/>
        <w:tabs>
          <w:tab w:val="left" w:pos="360"/>
          <w:tab w:val="left" w:pos="450"/>
        </w:tabs>
        <w:spacing w:line="480" w:lineRule="auto"/>
        <w:rPr>
          <w:sz w:val="28"/>
          <w:szCs w:val="28"/>
          <w14:ligatures w14:val="standardContextual"/>
          <w14:numForm w14:val="lining"/>
          <w14:numSpacing w14:val="tabular"/>
          <w14:stylisticSets>
            <w14:styleSet w14:id="1"/>
          </w14:stylisticSets>
        </w:rPr>
      </w:pPr>
      <w:r>
        <w:rPr>
          <w:sz w:val="28"/>
          <w:szCs w:val="28"/>
          <w14:ligatures w14:val="standardContextual"/>
          <w14:numForm w14:val="lining"/>
          <w14:numSpacing w14:val="tabular"/>
          <w14:stylisticSets>
            <w14:styleSet w14:id="1"/>
          </w14:stylisticSets>
        </w:rPr>
        <w:tab/>
      </w:r>
      <w:r w:rsidR="00CE06F2" w:rsidRPr="006755C0">
        <w:rPr>
          <w:sz w:val="28"/>
          <w:szCs w:val="28"/>
          <w14:ligatures w14:val="standardContextual"/>
          <w14:numForm w14:val="lining"/>
          <w14:numSpacing w14:val="tabular"/>
          <w14:stylisticSets>
            <w14:styleSet w14:id="1"/>
          </w14:stylisticSets>
        </w:rPr>
        <w:t>Members of the current Commission have</w:t>
      </w:r>
      <w:r w:rsidR="009C7154" w:rsidRPr="006755C0">
        <w:rPr>
          <w:sz w:val="28"/>
          <w:szCs w:val="28"/>
          <w14:ligatures w14:val="standardContextual"/>
          <w14:numForm w14:val="lining"/>
          <w14:numSpacing w14:val="tabular"/>
          <w14:stylisticSets>
            <w14:styleSet w14:id="1"/>
          </w14:stylisticSets>
        </w:rPr>
        <w:t xml:space="preserve"> </w:t>
      </w:r>
      <w:r w:rsidR="00CE06F2" w:rsidRPr="006755C0">
        <w:rPr>
          <w:sz w:val="28"/>
          <w:szCs w:val="28"/>
          <w14:ligatures w14:val="standardContextual"/>
          <w14:numForm w14:val="lining"/>
          <w14:numSpacing w14:val="tabular"/>
          <w14:stylisticSets>
            <w14:styleSet w14:id="1"/>
          </w14:stylisticSets>
        </w:rPr>
        <w:t xml:space="preserve">suggested that the Commission </w:t>
      </w:r>
      <w:r w:rsidR="009C7154" w:rsidRPr="006755C0">
        <w:rPr>
          <w:sz w:val="28"/>
          <w:szCs w:val="28"/>
          <w14:ligatures w14:val="standardContextual"/>
          <w14:numForm w14:val="lining"/>
          <w14:numSpacing w14:val="tabular"/>
          <w14:stylisticSets>
            <w14:styleSet w14:id="1"/>
          </w14:stylisticSets>
        </w:rPr>
        <w:t xml:space="preserve">could have achieved its goal of an open and transparent Internet without subjecting BIASPs to the “legal uncertainty” of Title II by utilizing the </w:t>
      </w:r>
      <w:r w:rsidR="009C7154" w:rsidRPr="006755C0">
        <w:rPr>
          <w:sz w:val="28"/>
          <w:szCs w:val="28"/>
        </w:rPr>
        <w:t>Commission</w:t>
      </w:r>
      <w:r w:rsidR="009C7154" w:rsidRPr="006755C0">
        <w:rPr>
          <w:sz w:val="28"/>
          <w:szCs w:val="28"/>
          <w14:ligatures w14:val="standardContextual"/>
          <w14:numForm w14:val="lining"/>
          <w14:numSpacing w14:val="tabular"/>
          <w14:stylisticSets>
            <w14:styleSet w14:id="1"/>
          </w14:stylisticSets>
        </w:rPr>
        <w:t xml:space="preserve">’s general authority under Section 706. This argument has already been tried by the </w:t>
      </w:r>
      <w:r w:rsidR="009C7154" w:rsidRPr="006755C0">
        <w:rPr>
          <w:sz w:val="28"/>
          <w:szCs w:val="28"/>
        </w:rPr>
        <w:t>Commission</w:t>
      </w:r>
      <w:r w:rsidR="009C7154" w:rsidRPr="006755C0">
        <w:rPr>
          <w:sz w:val="28"/>
          <w:szCs w:val="28"/>
          <w14:ligatures w14:val="standardContextual"/>
          <w14:numForm w14:val="lining"/>
          <w14:numSpacing w14:val="tabular"/>
          <w14:stylisticSets>
            <w14:styleSet w14:id="1"/>
          </w14:stylisticSets>
        </w:rPr>
        <w:t xml:space="preserve"> and rejected by the</w:t>
      </w:r>
      <w:r w:rsidR="00F11474" w:rsidRPr="006755C0">
        <w:rPr>
          <w:sz w:val="28"/>
          <w:szCs w:val="28"/>
          <w14:ligatures w14:val="standardContextual"/>
          <w14:numForm w14:val="lining"/>
          <w14:numSpacing w14:val="tabular"/>
          <w14:stylisticSets>
            <w14:styleSet w14:id="1"/>
          </w14:stylisticSets>
        </w:rPr>
        <w:t xml:space="preserve"> </w:t>
      </w:r>
      <w:r w:rsidR="009C7154" w:rsidRPr="006755C0">
        <w:rPr>
          <w:sz w:val="28"/>
          <w:szCs w:val="28"/>
          <w14:ligatures w14:val="standardContextual"/>
          <w14:numForm w14:val="lining"/>
          <w14:numSpacing w14:val="tabular"/>
          <w14:stylisticSets>
            <w14:styleSet w14:id="1"/>
          </w14:stylisticSets>
        </w:rPr>
        <w:t xml:space="preserve">Court in </w:t>
      </w:r>
      <w:r w:rsidR="009C7154" w:rsidRPr="006755C0">
        <w:rPr>
          <w:i/>
          <w:sz w:val="28"/>
          <w:szCs w:val="28"/>
          <w14:ligatures w14:val="standardContextual"/>
          <w14:numForm w14:val="lining"/>
          <w14:numSpacing w14:val="tabular"/>
          <w14:stylisticSets>
            <w14:styleSet w14:id="1"/>
          </w14:stylisticSets>
        </w:rPr>
        <w:t>Verizon</w:t>
      </w:r>
      <w:r w:rsidR="009C7154" w:rsidRPr="006755C0">
        <w:rPr>
          <w:sz w:val="28"/>
          <w:szCs w:val="28"/>
          <w14:ligatures w14:val="standardContextual"/>
          <w14:numForm w14:val="lining"/>
          <w14:numSpacing w14:val="tabular"/>
          <w14:stylisticSets>
            <w14:styleSet w14:id="1"/>
          </w14:stylisticSets>
        </w:rPr>
        <w:t xml:space="preserve">. In </w:t>
      </w:r>
      <w:r w:rsidR="009C7154" w:rsidRPr="006755C0">
        <w:rPr>
          <w:i/>
          <w:sz w:val="28"/>
          <w:szCs w:val="28"/>
          <w14:ligatures w14:val="standardContextual"/>
          <w14:numForm w14:val="lining"/>
          <w14:numSpacing w14:val="tabular"/>
          <w14:stylisticSets>
            <w14:styleSet w14:id="1"/>
          </w14:stylisticSets>
        </w:rPr>
        <w:t>Verizon</w:t>
      </w:r>
      <w:r w:rsidR="009C7154" w:rsidRPr="006755C0">
        <w:rPr>
          <w:sz w:val="28"/>
          <w:szCs w:val="28"/>
          <w14:ligatures w14:val="standardContextual"/>
          <w14:numForm w14:val="lining"/>
          <w14:numSpacing w14:val="tabular"/>
          <w14:stylisticSets>
            <w14:styleSet w14:id="1"/>
          </w14:stylisticSets>
        </w:rPr>
        <w:t xml:space="preserve">, the Court explained the </w:t>
      </w:r>
      <w:r w:rsidR="009C7154" w:rsidRPr="006755C0">
        <w:rPr>
          <w:sz w:val="28"/>
          <w:szCs w:val="28"/>
        </w:rPr>
        <w:t>Commission</w:t>
      </w:r>
      <w:r w:rsidR="009C7154" w:rsidRPr="006755C0">
        <w:rPr>
          <w:sz w:val="28"/>
          <w:szCs w:val="28"/>
          <w14:ligatures w14:val="standardContextual"/>
          <w14:numForm w14:val="lining"/>
          <w14:numSpacing w14:val="tabular"/>
          <w14:stylisticSets>
            <w14:styleSet w14:id="1"/>
          </w14:stylisticSets>
        </w:rPr>
        <w:t xml:space="preserve">’s proposed anti-blocking, anti-discrimination and anti-throttling open Internet rules were </w:t>
      </w:r>
      <w:r w:rsidR="009C7154" w:rsidRPr="006755C0">
        <w:rPr>
          <w:i/>
          <w:sz w:val="28"/>
          <w:szCs w:val="28"/>
          <w14:ligatures w14:val="standardContextual"/>
          <w14:numForm w14:val="lining"/>
          <w14:numSpacing w14:val="tabular"/>
          <w14:stylisticSets>
            <w14:styleSet w14:id="1"/>
          </w14:stylisticSets>
        </w:rPr>
        <w:t>per se</w:t>
      </w:r>
      <w:r w:rsidR="009C7154" w:rsidRPr="006755C0">
        <w:rPr>
          <w:sz w:val="28"/>
          <w:szCs w:val="28"/>
          <w14:ligatures w14:val="standardContextual"/>
          <w14:numForm w14:val="lining"/>
          <w14:numSpacing w14:val="tabular"/>
          <w14:stylisticSets>
            <w14:styleSet w14:id="1"/>
          </w14:stylisticSets>
        </w:rPr>
        <w:t xml:space="preserve"> common carriage regulations.</w:t>
      </w:r>
      <w:r w:rsidR="009C7154" w:rsidRPr="006755C0">
        <w:rPr>
          <w:sz w:val="28"/>
          <w:szCs w:val="28"/>
          <w:vertAlign w:val="superscript"/>
          <w14:ligatures w14:val="standardContextual"/>
          <w14:numForm w14:val="lining"/>
          <w14:numSpacing w14:val="tabular"/>
          <w14:stylisticSets>
            <w14:styleSet w14:id="1"/>
          </w14:stylisticSets>
        </w:rPr>
        <w:footnoteReference w:id="5"/>
      </w:r>
      <w:r w:rsidR="009C7154" w:rsidRPr="006755C0">
        <w:rPr>
          <w:sz w:val="28"/>
          <w:szCs w:val="28"/>
          <w14:ligatures w14:val="standardContextual"/>
          <w14:numForm w14:val="lining"/>
          <w14:numSpacing w14:val="tabular"/>
          <w14:stylisticSets>
            <w14:styleSet w14:id="1"/>
          </w14:stylisticSets>
        </w:rPr>
        <w:t xml:space="preserve"> Although the </w:t>
      </w:r>
      <w:r w:rsidR="009C7154" w:rsidRPr="006755C0">
        <w:rPr>
          <w:i/>
          <w:sz w:val="28"/>
          <w:szCs w:val="28"/>
          <w14:ligatures w14:val="standardContextual"/>
          <w14:numForm w14:val="lining"/>
          <w14:numSpacing w14:val="tabular"/>
          <w14:stylisticSets>
            <w14:styleSet w14:id="1"/>
          </w14:stylisticSets>
        </w:rPr>
        <w:t xml:space="preserve">Verizon </w:t>
      </w:r>
      <w:r w:rsidR="009C7154" w:rsidRPr="006755C0">
        <w:rPr>
          <w:sz w:val="28"/>
          <w:szCs w:val="28"/>
          <w14:ligatures w14:val="standardContextual"/>
          <w14:numForm w14:val="lining"/>
          <w14:numSpacing w14:val="tabular"/>
          <w14:stylisticSets>
            <w14:styleSet w14:id="1"/>
          </w14:stylisticSets>
        </w:rPr>
        <w:t xml:space="preserve">Court found many of the </w:t>
      </w:r>
      <w:r w:rsidR="009C7154" w:rsidRPr="006755C0">
        <w:rPr>
          <w:sz w:val="28"/>
          <w:szCs w:val="28"/>
        </w:rPr>
        <w:t>Commission</w:t>
      </w:r>
      <w:r w:rsidR="009C7154" w:rsidRPr="006755C0">
        <w:rPr>
          <w:sz w:val="28"/>
          <w:szCs w:val="28"/>
          <w14:ligatures w14:val="standardContextual"/>
          <w14:numForm w14:val="lining"/>
          <w14:numSpacing w14:val="tabular"/>
          <w14:stylisticSets>
            <w14:styleSet w14:id="1"/>
          </w14:stylisticSets>
        </w:rPr>
        <w:t xml:space="preserve">’s motivations for applying common carriage regulations to BIASPs justified by the record below, ultimately application of </w:t>
      </w:r>
      <w:r w:rsidR="009C7154" w:rsidRPr="006755C0">
        <w:rPr>
          <w:i/>
          <w:sz w:val="28"/>
          <w:szCs w:val="28"/>
          <w14:ligatures w14:val="standardContextual"/>
          <w14:numForm w14:val="lining"/>
          <w14:numSpacing w14:val="tabular"/>
          <w14:stylisticSets>
            <w14:styleSet w14:id="1"/>
          </w14:stylisticSets>
        </w:rPr>
        <w:t xml:space="preserve">per se </w:t>
      </w:r>
      <w:r w:rsidR="009C7154" w:rsidRPr="006755C0">
        <w:rPr>
          <w:sz w:val="28"/>
          <w:szCs w:val="28"/>
          <w14:ligatures w14:val="standardContextual"/>
          <w14:numForm w14:val="lining"/>
          <w14:numSpacing w14:val="tabular"/>
          <w14:stylisticSets>
            <w14:styleSet w14:id="1"/>
          </w14:stylisticSets>
        </w:rPr>
        <w:t>common carriage regulation to service providers not classified as common carriers contravened the 1996 Act and thus was impermissible.</w:t>
      </w:r>
      <w:r w:rsidR="009C7154" w:rsidRPr="006755C0">
        <w:rPr>
          <w:sz w:val="28"/>
          <w:szCs w:val="28"/>
          <w:vertAlign w:val="superscript"/>
          <w14:ligatures w14:val="standardContextual"/>
          <w14:numForm w14:val="lining"/>
          <w14:numSpacing w14:val="tabular"/>
          <w14:stylisticSets>
            <w14:styleSet w14:id="1"/>
          </w14:stylisticSets>
        </w:rPr>
        <w:footnoteReference w:id="6"/>
      </w:r>
      <w:r w:rsidR="009C7154" w:rsidRPr="006755C0">
        <w:rPr>
          <w:color w:val="FF0000"/>
          <w:sz w:val="28"/>
          <w:szCs w:val="28"/>
          <w14:ligatures w14:val="standardContextual"/>
          <w14:numForm w14:val="lining"/>
          <w14:numSpacing w14:val="tabular"/>
          <w14:stylisticSets>
            <w14:styleSet w14:id="1"/>
          </w14:stylisticSets>
        </w:rPr>
        <w:t xml:space="preserve">  </w:t>
      </w:r>
      <w:r w:rsidR="009C7154" w:rsidRPr="006755C0">
        <w:rPr>
          <w:sz w:val="28"/>
          <w:szCs w:val="28"/>
          <w14:ligatures w14:val="standardContextual"/>
          <w14:numForm w14:val="lining"/>
          <w14:numSpacing w14:val="tabular"/>
          <w14:stylisticSets>
            <w14:styleSet w14:id="1"/>
          </w14:stylisticSets>
        </w:rPr>
        <w:t>Based on the Verizon court’s holding the Commission rightly concluded that reclassification was a necessary predicate to application of the open internet rules to BIASPs.</w:t>
      </w:r>
    </w:p>
    <w:p w:rsidR="009C7154" w:rsidRPr="006755C0" w:rsidRDefault="009C7154" w:rsidP="000850A3">
      <w:pPr>
        <w:pStyle w:val="Heading1"/>
        <w:numPr>
          <w:ilvl w:val="0"/>
          <w:numId w:val="2"/>
        </w:numPr>
        <w:ind w:left="720"/>
      </w:pPr>
      <w:r w:rsidRPr="006755C0">
        <w:t>Title II Regulation Does Not Deter Continued Investment In Broadband Infrastructure, Despite Comments To The Contrary</w:t>
      </w:r>
    </w:p>
    <w:p w:rsidR="009C7154" w:rsidRPr="006755C0" w:rsidRDefault="009C7154" w:rsidP="009C7154">
      <w:pPr>
        <w:tabs>
          <w:tab w:val="left" w:pos="360"/>
        </w:tabs>
        <w:rPr>
          <w:sz w:val="28"/>
          <w:szCs w:val="28"/>
        </w:rPr>
      </w:pPr>
    </w:p>
    <w:p w:rsidR="009C7154" w:rsidRPr="006755C0" w:rsidRDefault="009C7154" w:rsidP="009C7154">
      <w:pPr>
        <w:tabs>
          <w:tab w:val="left" w:pos="360"/>
        </w:tabs>
        <w:spacing w:line="480" w:lineRule="auto"/>
        <w:rPr>
          <w:sz w:val="28"/>
          <w:szCs w:val="28"/>
        </w:rPr>
      </w:pPr>
      <w:r w:rsidRPr="006755C0">
        <w:rPr>
          <w:sz w:val="28"/>
          <w:szCs w:val="28"/>
        </w:rPr>
        <w:tab/>
      </w:r>
      <w:r w:rsidR="00B3536E" w:rsidRPr="006755C0">
        <w:rPr>
          <w:sz w:val="28"/>
          <w:szCs w:val="28"/>
        </w:rPr>
        <w:t>T</w:t>
      </w:r>
      <w:r w:rsidRPr="006755C0">
        <w:rPr>
          <w:sz w:val="28"/>
          <w:szCs w:val="28"/>
        </w:rPr>
        <w:t xml:space="preserve">he </w:t>
      </w:r>
      <w:r w:rsidR="00B3536E" w:rsidRPr="006755C0">
        <w:rPr>
          <w:sz w:val="28"/>
          <w:szCs w:val="28"/>
        </w:rPr>
        <w:t xml:space="preserve">current </w:t>
      </w:r>
      <w:r w:rsidRPr="006755C0">
        <w:rPr>
          <w:sz w:val="28"/>
          <w:szCs w:val="28"/>
        </w:rPr>
        <w:t>Commission</w:t>
      </w:r>
      <w:r w:rsidR="00B3536E" w:rsidRPr="006755C0">
        <w:rPr>
          <w:sz w:val="28"/>
          <w:szCs w:val="28"/>
        </w:rPr>
        <w:t xml:space="preserve"> suggests that </w:t>
      </w:r>
      <w:r w:rsidRPr="006755C0">
        <w:rPr>
          <w:sz w:val="28"/>
          <w:szCs w:val="28"/>
        </w:rPr>
        <w:t xml:space="preserve">the </w:t>
      </w:r>
      <w:r w:rsidR="000850A3">
        <w:rPr>
          <w:sz w:val="28"/>
          <w:szCs w:val="28"/>
        </w:rPr>
        <w:t xml:space="preserve">open internet </w:t>
      </w:r>
      <w:r w:rsidRPr="006755C0">
        <w:rPr>
          <w:sz w:val="28"/>
          <w:szCs w:val="28"/>
        </w:rPr>
        <w:t xml:space="preserve">rules </w:t>
      </w:r>
      <w:r w:rsidR="000850A3">
        <w:rPr>
          <w:sz w:val="28"/>
          <w:szCs w:val="28"/>
        </w:rPr>
        <w:t>are</w:t>
      </w:r>
      <w:r w:rsidRPr="006755C0">
        <w:rPr>
          <w:sz w:val="28"/>
          <w:szCs w:val="28"/>
        </w:rPr>
        <w:t xml:space="preserve"> likely to cause a reduction in investment in broadband networks.  </w:t>
      </w:r>
      <w:r w:rsidR="000850A3">
        <w:rPr>
          <w:sz w:val="28"/>
          <w:szCs w:val="28"/>
        </w:rPr>
        <w:t>Further, that t</w:t>
      </w:r>
      <w:r w:rsidRPr="006755C0">
        <w:rPr>
          <w:sz w:val="28"/>
          <w:szCs w:val="28"/>
        </w:rPr>
        <w:t xml:space="preserve">he diminution of </w:t>
      </w:r>
      <w:r w:rsidRPr="006755C0">
        <w:rPr>
          <w:sz w:val="28"/>
          <w:szCs w:val="28"/>
        </w:rPr>
        <w:lastRenderedPageBreak/>
        <w:t>investment may in turn undermine broadband adoption by economically disadvantaged individuals and households that are disproportionately but not predominantly people of color.</w:t>
      </w:r>
    </w:p>
    <w:p w:rsidR="00F2791C" w:rsidRPr="006755C0" w:rsidRDefault="000850A3" w:rsidP="00F2791C">
      <w:pPr>
        <w:tabs>
          <w:tab w:val="left" w:pos="360"/>
        </w:tabs>
        <w:spacing w:before="100" w:beforeAutospacing="1" w:after="100" w:afterAutospacing="1" w:line="48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F2791C" w:rsidRPr="006755C0">
        <w:rPr>
          <w:sz w:val="28"/>
          <w:szCs w:val="28"/>
        </w:rPr>
        <w:t xml:space="preserve">In adopting the rules, the </w:t>
      </w:r>
      <w:r>
        <w:rPr>
          <w:sz w:val="28"/>
          <w:szCs w:val="28"/>
        </w:rPr>
        <w:t xml:space="preserve">previous </w:t>
      </w:r>
      <w:r w:rsidR="00F2791C" w:rsidRPr="006755C0">
        <w:rPr>
          <w:sz w:val="28"/>
          <w:szCs w:val="28"/>
        </w:rPr>
        <w:t>Commission took care to account for the tremendous investment associated with the expansion of Internet infrastructure.  Among other things, the Commission expressly eschewed the future use of prescriptive, industry-wide rate regulation and forbore from application of 27 provisions of Title II of the Communications Act and over 700 Commission rules and regulations</w:t>
      </w:r>
      <w:r>
        <w:rPr>
          <w:sz w:val="28"/>
          <w:szCs w:val="28"/>
        </w:rPr>
        <w:t>.</w:t>
      </w:r>
      <w:r w:rsidR="00F2791C" w:rsidRPr="006755C0">
        <w:rPr>
          <w:sz w:val="28"/>
          <w:szCs w:val="28"/>
          <w:vertAlign w:val="superscript"/>
        </w:rPr>
        <w:footnoteReference w:id="7"/>
      </w:r>
      <w:r w:rsidR="00F2791C" w:rsidRPr="006755C0">
        <w:rPr>
          <w:sz w:val="28"/>
          <w:szCs w:val="28"/>
        </w:rPr>
        <w:t xml:space="preserve">  The Commission made clear that its “light-touch” regulatory framework allows consumers to continue to enjoy unfettered access to the Internet over fixed and mobile broadband connections, </w:t>
      </w:r>
      <w:r w:rsidR="00F2791C" w:rsidRPr="006755C0">
        <w:rPr>
          <w:color w:val="000000" w:themeColor="text1"/>
          <w:sz w:val="28"/>
          <w:szCs w:val="28"/>
        </w:rPr>
        <w:t xml:space="preserve">and </w:t>
      </w:r>
      <w:r w:rsidR="00F2791C" w:rsidRPr="006755C0">
        <w:rPr>
          <w:sz w:val="28"/>
          <w:szCs w:val="28"/>
        </w:rPr>
        <w:t>gives innovators the ability to access hundreds of millions of consumers, while network operators continue to reap the benefits of their investments.</w:t>
      </w:r>
    </w:p>
    <w:p w:rsidR="00073461" w:rsidRPr="006755C0" w:rsidRDefault="00F2791C" w:rsidP="00F2791C">
      <w:pPr>
        <w:tabs>
          <w:tab w:val="left" w:pos="360"/>
        </w:tabs>
        <w:spacing w:before="100" w:beforeAutospacing="1" w:after="100" w:afterAutospacing="1" w:line="480" w:lineRule="auto"/>
        <w:rPr>
          <w:sz w:val="28"/>
          <w:szCs w:val="28"/>
        </w:rPr>
      </w:pPr>
      <w:r w:rsidRPr="006755C0">
        <w:rPr>
          <w:sz w:val="28"/>
          <w:szCs w:val="28"/>
        </w:rPr>
        <w:tab/>
        <w:t xml:space="preserve">Title II regulation </w:t>
      </w:r>
      <w:r w:rsidR="007F7EB0">
        <w:rPr>
          <w:sz w:val="28"/>
          <w:szCs w:val="28"/>
        </w:rPr>
        <w:t>ha</w:t>
      </w:r>
      <w:r w:rsidRPr="006755C0">
        <w:rPr>
          <w:sz w:val="28"/>
          <w:szCs w:val="28"/>
        </w:rPr>
        <w:t>s not deter</w:t>
      </w:r>
      <w:r w:rsidR="007F7EB0">
        <w:rPr>
          <w:sz w:val="28"/>
          <w:szCs w:val="28"/>
        </w:rPr>
        <w:t>red</w:t>
      </w:r>
      <w:r w:rsidRPr="006755C0">
        <w:rPr>
          <w:sz w:val="28"/>
          <w:szCs w:val="28"/>
        </w:rPr>
        <w:t xml:space="preserve"> continued investment in broadband infrastructure, despite </w:t>
      </w:r>
      <w:r w:rsidR="007F7EB0">
        <w:rPr>
          <w:sz w:val="28"/>
          <w:szCs w:val="28"/>
        </w:rPr>
        <w:t>assertions</w:t>
      </w:r>
      <w:r w:rsidRPr="006755C0">
        <w:rPr>
          <w:sz w:val="28"/>
          <w:szCs w:val="28"/>
        </w:rPr>
        <w:t xml:space="preserve"> to the contrary.  </w:t>
      </w:r>
      <w:r w:rsidR="00DB34BD" w:rsidRPr="006755C0">
        <w:rPr>
          <w:sz w:val="28"/>
          <w:szCs w:val="28"/>
        </w:rPr>
        <w:t>“</w:t>
      </w:r>
      <w:r w:rsidR="00F24F6A" w:rsidRPr="006755C0">
        <w:rPr>
          <w:sz w:val="28"/>
          <w:szCs w:val="28"/>
        </w:rPr>
        <w:t>[N]</w:t>
      </w:r>
      <w:r w:rsidR="00DB34BD" w:rsidRPr="006755C0">
        <w:rPr>
          <w:sz w:val="28"/>
          <w:szCs w:val="28"/>
        </w:rPr>
        <w:t>ot a single publicly traded US ISP has told its investors (or the SEC) that Title II negative</w:t>
      </w:r>
      <w:r w:rsidR="00867F69">
        <w:rPr>
          <w:sz w:val="28"/>
          <w:szCs w:val="28"/>
        </w:rPr>
        <w:t>ly impacted its own investments</w:t>
      </w:r>
      <w:r w:rsidR="00DB34BD" w:rsidRPr="006755C0">
        <w:rPr>
          <w:sz w:val="28"/>
          <w:szCs w:val="28"/>
        </w:rPr>
        <w:t>”</w:t>
      </w:r>
      <w:r w:rsidR="00A3569A" w:rsidRPr="006755C0">
        <w:rPr>
          <w:rStyle w:val="FootnoteReference"/>
          <w:sz w:val="28"/>
          <w:szCs w:val="28"/>
        </w:rPr>
        <w:footnoteReference w:id="8"/>
      </w:r>
      <w:r w:rsidR="00DB34BD" w:rsidRPr="006755C0">
        <w:rPr>
          <w:sz w:val="28"/>
          <w:szCs w:val="28"/>
        </w:rPr>
        <w:t xml:space="preserve">  Title II hasn’t hurt network investment, according to the ISPs </w:t>
      </w:r>
      <w:r w:rsidR="00DB34BD" w:rsidRPr="006755C0">
        <w:rPr>
          <w:sz w:val="28"/>
          <w:szCs w:val="28"/>
        </w:rPr>
        <w:lastRenderedPageBreak/>
        <w:t>themselves</w:t>
      </w:r>
      <w:r w:rsidR="00867F69">
        <w:rPr>
          <w:sz w:val="28"/>
          <w:szCs w:val="28"/>
        </w:rPr>
        <w:t>.</w:t>
      </w:r>
      <w:r w:rsidR="000D4DC9" w:rsidRPr="006755C0">
        <w:rPr>
          <w:rStyle w:val="FootnoteReference"/>
          <w:sz w:val="28"/>
          <w:szCs w:val="28"/>
        </w:rPr>
        <w:footnoteReference w:id="9"/>
      </w:r>
      <w:r w:rsidR="00A3569A" w:rsidRPr="006755C0">
        <w:rPr>
          <w:sz w:val="28"/>
          <w:szCs w:val="28"/>
        </w:rPr>
        <w:t xml:space="preserve">  </w:t>
      </w:r>
      <w:r w:rsidR="00867F69">
        <w:rPr>
          <w:sz w:val="28"/>
          <w:szCs w:val="28"/>
        </w:rPr>
        <w:t xml:space="preserve">Moreover, it is not the application of Title II but the loss of </w:t>
      </w:r>
      <w:r w:rsidR="001B44D7">
        <w:rPr>
          <w:sz w:val="28"/>
          <w:szCs w:val="28"/>
        </w:rPr>
        <w:t>net neutrality rules and Lifeline that are feared likely to reduce minority and low income internet access.</w:t>
      </w:r>
      <w:r w:rsidR="001B44D7">
        <w:rPr>
          <w:rStyle w:val="FootnoteReference"/>
          <w:sz w:val="28"/>
          <w:szCs w:val="28"/>
        </w:rPr>
        <w:footnoteReference w:id="10"/>
      </w:r>
      <w:r w:rsidR="008F221C">
        <w:rPr>
          <w:sz w:val="28"/>
          <w:szCs w:val="28"/>
        </w:rPr>
        <w:t xml:space="preserve">  For these reasons, there is no need to re</w:t>
      </w:r>
      <w:r w:rsidR="003E4971">
        <w:rPr>
          <w:sz w:val="28"/>
          <w:szCs w:val="28"/>
        </w:rPr>
        <w:t>peal or replace the current rules.</w:t>
      </w:r>
    </w:p>
    <w:p w:rsidR="00F607C6" w:rsidRDefault="00073461" w:rsidP="00F607C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F049379" wp14:editId="3D9A3923">
            <wp:extent cx="1935784" cy="548640"/>
            <wp:effectExtent l="0" t="0" r="762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5784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607C6" w:rsidRPr="00FA19BC" w:rsidRDefault="00F607C6" w:rsidP="00F607C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F43E7">
        <w:rPr>
          <w:rFonts w:ascii="Times New Roman" w:hAnsi="Times New Roman" w:cs="Times New Roman"/>
          <w:sz w:val="28"/>
          <w:szCs w:val="28"/>
        </w:rPr>
        <w:t>Allen S. Hammond, IV</w:t>
      </w:r>
    </w:p>
    <w:p w:rsidR="00F607C6" w:rsidRPr="00FA19BC" w:rsidRDefault="00F607C6" w:rsidP="00F607C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F43E7"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irector</w:t>
      </w:r>
    </w:p>
    <w:p w:rsidR="00F607C6" w:rsidRPr="00FA19BC" w:rsidRDefault="00F607C6" w:rsidP="00F607C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F43E7">
        <w:rPr>
          <w:rFonts w:ascii="Times New Roman" w:hAnsi="Times New Roman" w:cs="Times New Roman"/>
          <w:sz w:val="28"/>
          <w:szCs w:val="28"/>
        </w:rPr>
        <w:t>BroadBand Institute of California</w:t>
      </w:r>
    </w:p>
    <w:p w:rsidR="00F607C6" w:rsidRPr="00FA19BC" w:rsidRDefault="00F607C6" w:rsidP="00F607C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0F43E7">
        <w:rPr>
          <w:rFonts w:ascii="Times New Roman" w:hAnsi="Times New Roman" w:cs="Times New Roman"/>
          <w:sz w:val="28"/>
          <w:szCs w:val="28"/>
        </w:rPr>
        <w:t>Santa Clara University School of Law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07C6" w:rsidRPr="00FA19BC" w:rsidRDefault="00F607C6" w:rsidP="00F607C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A4E1A">
        <w:rPr>
          <w:rFonts w:ascii="Times New Roman" w:hAnsi="Times New Roman" w:cs="Times New Roman"/>
          <w:sz w:val="28"/>
          <w:szCs w:val="28"/>
        </w:rPr>
        <w:t>500 El Camino Real</w:t>
      </w:r>
    </w:p>
    <w:p w:rsidR="00F607C6" w:rsidRPr="00FA19BC" w:rsidRDefault="00F607C6" w:rsidP="00F607C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A4E1A">
        <w:rPr>
          <w:rFonts w:ascii="Times New Roman" w:hAnsi="Times New Roman" w:cs="Times New Roman"/>
          <w:sz w:val="28"/>
          <w:szCs w:val="28"/>
        </w:rPr>
        <w:t>Santa Clara, California 95053-0421</w:t>
      </w:r>
    </w:p>
    <w:p w:rsidR="00F607C6" w:rsidRPr="00FA19BC" w:rsidRDefault="00F607C6" w:rsidP="00F607C6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1A4E1A">
        <w:rPr>
          <w:rFonts w:ascii="Times New Roman" w:hAnsi="Times New Roman" w:cs="Times New Roman"/>
          <w:sz w:val="28"/>
          <w:szCs w:val="28"/>
        </w:rPr>
        <w:t>408-554-4078</w:t>
      </w:r>
    </w:p>
    <w:p w:rsidR="00F607C6" w:rsidRDefault="00765D21" w:rsidP="00F607C6">
      <w:pPr>
        <w:pStyle w:val="NoSpacing"/>
        <w:rPr>
          <w:rFonts w:ascii="Times New Roman" w:hAnsi="Times New Roman" w:cs="Times New Roman"/>
          <w:sz w:val="28"/>
          <w:szCs w:val="28"/>
        </w:rPr>
      </w:pPr>
      <w:hyperlink r:id="rId8" w:history="1">
        <w:r w:rsidR="00F607C6" w:rsidRPr="00727D2E">
          <w:rPr>
            <w:rStyle w:val="Hyperlink"/>
            <w:rFonts w:ascii="Times New Roman" w:hAnsi="Times New Roman" w:cs="Times New Roman"/>
            <w:sz w:val="28"/>
            <w:szCs w:val="28"/>
          </w:rPr>
          <w:t>ahammond@scu.edu</w:t>
        </w:r>
      </w:hyperlink>
    </w:p>
    <w:p w:rsidR="00F607C6" w:rsidRDefault="00F607C6"/>
    <w:p w:rsidR="00F607C6" w:rsidRDefault="00F607C6"/>
    <w:sectPr w:rsidR="00F607C6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791C" w:rsidRDefault="00F2791C" w:rsidP="00F2791C">
      <w:r>
        <w:separator/>
      </w:r>
    </w:p>
  </w:endnote>
  <w:endnote w:type="continuationSeparator" w:id="0">
    <w:p w:rsidR="00F2791C" w:rsidRDefault="00F2791C" w:rsidP="00F27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74456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86EB4" w:rsidRDefault="00386EB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5D2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86EB4" w:rsidRDefault="00386E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791C" w:rsidRDefault="00F2791C" w:rsidP="00F2791C">
      <w:r>
        <w:separator/>
      </w:r>
    </w:p>
  </w:footnote>
  <w:footnote w:type="continuationSeparator" w:id="0">
    <w:p w:rsidR="00F2791C" w:rsidRDefault="00F2791C" w:rsidP="00F2791C">
      <w:r>
        <w:continuationSeparator/>
      </w:r>
    </w:p>
  </w:footnote>
  <w:footnote w:id="1">
    <w:p w:rsidR="00DE2EB8" w:rsidRPr="00771404" w:rsidRDefault="00DE2EB8">
      <w:pPr>
        <w:pStyle w:val="FootnoteText"/>
        <w:rPr>
          <w:rFonts w:ascii="Times New Roman" w:hAnsi="Times New Roman" w:cs="Times New Roman"/>
          <w:sz w:val="28"/>
          <w:szCs w:val="28"/>
        </w:rPr>
      </w:pPr>
      <w:r>
        <w:rPr>
          <w:rStyle w:val="FootnoteReference"/>
        </w:rPr>
        <w:footnoteRef/>
      </w:r>
      <w:r>
        <w:t xml:space="preserve"> </w:t>
      </w:r>
      <w:r w:rsidRPr="00771404">
        <w:rPr>
          <w:rFonts w:ascii="Times New Roman" w:eastAsia="Calibri" w:hAnsi="Times New Roman" w:cs="Times New Roman"/>
          <w:i/>
          <w:sz w:val="28"/>
          <w:szCs w:val="28"/>
        </w:rPr>
        <w:t xml:space="preserve">Verizon v. F.C.C., </w:t>
      </w:r>
      <w:r w:rsidRPr="00771404">
        <w:rPr>
          <w:rFonts w:ascii="Times New Roman" w:eastAsia="Calibri" w:hAnsi="Times New Roman" w:cs="Times New Roman"/>
          <w:sz w:val="28"/>
          <w:szCs w:val="28"/>
        </w:rPr>
        <w:t>740 F.3d 623 (D.C. Cir. 2014)</w:t>
      </w:r>
    </w:p>
  </w:footnote>
  <w:footnote w:id="2">
    <w:p w:rsidR="009C7154" w:rsidRPr="00771404" w:rsidRDefault="009C7154" w:rsidP="009C7154">
      <w:pPr>
        <w:pStyle w:val="FootnoteText"/>
        <w:rPr>
          <w:rFonts w:ascii="Times New Roman" w:hAnsi="Times New Roman" w:cs="Times New Roman"/>
          <w:sz w:val="28"/>
          <w:szCs w:val="28"/>
        </w:rPr>
      </w:pPr>
      <w:r w:rsidRPr="00771404">
        <w:rPr>
          <w:rStyle w:val="FootnoteReference"/>
          <w:rFonts w:ascii="Times New Roman" w:hAnsi="Times New Roman" w:cs="Times New Roman"/>
          <w:sz w:val="28"/>
          <w:szCs w:val="28"/>
        </w:rPr>
        <w:footnoteRef/>
      </w:r>
      <w:r w:rsidRPr="00771404">
        <w:rPr>
          <w:rFonts w:ascii="Times New Roman" w:hAnsi="Times New Roman" w:cs="Times New Roman"/>
          <w:sz w:val="28"/>
          <w:szCs w:val="28"/>
        </w:rPr>
        <w:t xml:space="preserve"> Declaratory Ruling and Notice of Proposed Rulemaking, Inquiry Concerning High-Speed Access to the Internet Over Cable and Other Facilities, 17 FCC Rcd 4798 (2002).</w:t>
      </w:r>
    </w:p>
  </w:footnote>
  <w:footnote w:id="3">
    <w:p w:rsidR="009C7154" w:rsidRPr="00771404" w:rsidRDefault="009C7154" w:rsidP="009C7154">
      <w:pPr>
        <w:pStyle w:val="FootnoteText"/>
        <w:rPr>
          <w:rFonts w:ascii="Times New Roman" w:hAnsi="Times New Roman" w:cs="Times New Roman"/>
          <w:sz w:val="28"/>
          <w:szCs w:val="28"/>
        </w:rPr>
      </w:pPr>
      <w:r w:rsidRPr="00771404">
        <w:rPr>
          <w:rStyle w:val="FootnoteReference"/>
          <w:rFonts w:ascii="Times New Roman" w:hAnsi="Times New Roman" w:cs="Times New Roman"/>
          <w:sz w:val="28"/>
          <w:szCs w:val="28"/>
        </w:rPr>
        <w:footnoteRef/>
      </w:r>
      <w:r w:rsidRPr="00771404">
        <w:rPr>
          <w:rFonts w:ascii="Times New Roman" w:hAnsi="Times New Roman" w:cs="Times New Roman"/>
          <w:sz w:val="28"/>
          <w:szCs w:val="28"/>
        </w:rPr>
        <w:t xml:space="preserve"> </w:t>
      </w:r>
      <w:r w:rsidRPr="00771404">
        <w:rPr>
          <w:rFonts w:ascii="Times New Roman" w:hAnsi="Times New Roman" w:cs="Times New Roman"/>
          <w:i/>
          <w:sz w:val="28"/>
          <w:szCs w:val="28"/>
        </w:rPr>
        <w:t xml:space="preserve">Brand X Internet Services, </w:t>
      </w:r>
      <w:r w:rsidRPr="00771404">
        <w:rPr>
          <w:rFonts w:ascii="Times New Roman" w:hAnsi="Times New Roman" w:cs="Times New Roman"/>
          <w:sz w:val="28"/>
          <w:szCs w:val="28"/>
        </w:rPr>
        <w:t>545 U.S. 981.</w:t>
      </w:r>
    </w:p>
  </w:footnote>
  <w:footnote w:id="4">
    <w:p w:rsidR="009C7154" w:rsidRPr="00771404" w:rsidRDefault="009C7154" w:rsidP="009C7154">
      <w:pPr>
        <w:pStyle w:val="FootnoteText"/>
        <w:rPr>
          <w:rFonts w:ascii="Times New Roman" w:hAnsi="Times New Roman" w:cs="Times New Roman"/>
          <w:sz w:val="28"/>
          <w:szCs w:val="28"/>
        </w:rPr>
      </w:pPr>
      <w:r w:rsidRPr="00771404">
        <w:rPr>
          <w:rStyle w:val="FootnoteReference"/>
          <w:rFonts w:ascii="Times New Roman" w:hAnsi="Times New Roman" w:cs="Times New Roman"/>
          <w:sz w:val="28"/>
          <w:szCs w:val="28"/>
        </w:rPr>
        <w:footnoteRef/>
      </w:r>
      <w:r w:rsidRPr="00771404">
        <w:rPr>
          <w:rFonts w:ascii="Times New Roman" w:hAnsi="Times New Roman" w:cs="Times New Roman"/>
          <w:sz w:val="28"/>
          <w:szCs w:val="28"/>
        </w:rPr>
        <w:t xml:space="preserve"> </w:t>
      </w:r>
      <w:r w:rsidRPr="00771404">
        <w:rPr>
          <w:rFonts w:ascii="Times New Roman" w:hAnsi="Times New Roman" w:cs="Times New Roman"/>
          <w:i/>
          <w:sz w:val="28"/>
          <w:szCs w:val="28"/>
        </w:rPr>
        <w:t xml:space="preserve">Infra </w:t>
      </w:r>
      <w:r w:rsidRPr="00771404">
        <w:rPr>
          <w:rFonts w:ascii="Times New Roman" w:hAnsi="Times New Roman" w:cs="Times New Roman"/>
          <w:sz w:val="28"/>
          <w:szCs w:val="28"/>
        </w:rPr>
        <w:t>(Section B).</w:t>
      </w:r>
    </w:p>
  </w:footnote>
  <w:footnote w:id="5">
    <w:p w:rsidR="009C7154" w:rsidRPr="00771404" w:rsidRDefault="009C7154" w:rsidP="009C7154">
      <w:pPr>
        <w:pStyle w:val="FootnoteText"/>
        <w:rPr>
          <w:rFonts w:ascii="Times New Roman" w:hAnsi="Times New Roman" w:cs="Times New Roman"/>
          <w:i/>
          <w:sz w:val="28"/>
          <w:szCs w:val="28"/>
        </w:rPr>
      </w:pPr>
      <w:r w:rsidRPr="00771404">
        <w:rPr>
          <w:rStyle w:val="FootnoteReference"/>
          <w:rFonts w:ascii="Times New Roman" w:hAnsi="Times New Roman" w:cs="Times New Roman"/>
          <w:sz w:val="28"/>
          <w:szCs w:val="28"/>
        </w:rPr>
        <w:footnoteRef/>
      </w:r>
      <w:r w:rsidRPr="00771404">
        <w:rPr>
          <w:rFonts w:ascii="Times New Roman" w:hAnsi="Times New Roman" w:cs="Times New Roman"/>
          <w:sz w:val="28"/>
          <w:szCs w:val="28"/>
        </w:rPr>
        <w:t xml:space="preserve"> </w:t>
      </w:r>
      <w:r w:rsidRPr="00771404">
        <w:rPr>
          <w:rFonts w:ascii="Times New Roman" w:hAnsi="Times New Roman" w:cs="Times New Roman"/>
          <w:i/>
          <w:sz w:val="28"/>
          <w:szCs w:val="28"/>
        </w:rPr>
        <w:t>Verizon</w:t>
      </w:r>
      <w:r w:rsidRPr="00771404">
        <w:rPr>
          <w:rFonts w:ascii="Times New Roman" w:hAnsi="Times New Roman" w:cs="Times New Roman"/>
          <w:sz w:val="28"/>
          <w:szCs w:val="28"/>
        </w:rPr>
        <w:t>, 740 F.3d 658.</w:t>
      </w:r>
    </w:p>
  </w:footnote>
  <w:footnote w:id="6">
    <w:p w:rsidR="009C7154" w:rsidRPr="00771404" w:rsidRDefault="009C7154" w:rsidP="009C7154">
      <w:pPr>
        <w:pStyle w:val="FootnoteText"/>
        <w:rPr>
          <w:rFonts w:ascii="Times New Roman" w:hAnsi="Times New Roman" w:cs="Times New Roman"/>
          <w:sz w:val="28"/>
          <w:szCs w:val="28"/>
        </w:rPr>
      </w:pPr>
      <w:r w:rsidRPr="00771404">
        <w:rPr>
          <w:rStyle w:val="FootnoteReference"/>
          <w:rFonts w:ascii="Times New Roman" w:hAnsi="Times New Roman" w:cs="Times New Roman"/>
          <w:sz w:val="28"/>
          <w:szCs w:val="28"/>
        </w:rPr>
        <w:footnoteRef/>
      </w:r>
      <w:r w:rsidRPr="00771404">
        <w:rPr>
          <w:rFonts w:ascii="Times New Roman" w:hAnsi="Times New Roman" w:cs="Times New Roman"/>
          <w:sz w:val="28"/>
          <w:szCs w:val="28"/>
        </w:rPr>
        <w:t xml:space="preserve"> </w:t>
      </w:r>
      <w:r w:rsidRPr="00771404">
        <w:rPr>
          <w:rFonts w:ascii="Times New Roman" w:hAnsi="Times New Roman" w:cs="Times New Roman"/>
          <w:i/>
          <w:sz w:val="28"/>
          <w:szCs w:val="28"/>
        </w:rPr>
        <w:t>Id</w:t>
      </w:r>
      <w:r w:rsidRPr="00771404">
        <w:rPr>
          <w:rFonts w:ascii="Times New Roman" w:hAnsi="Times New Roman" w:cs="Times New Roman"/>
          <w:sz w:val="28"/>
          <w:szCs w:val="28"/>
        </w:rPr>
        <w:t>. at 650</w:t>
      </w:r>
    </w:p>
  </w:footnote>
  <w:footnote w:id="7">
    <w:p w:rsidR="00F2791C" w:rsidRPr="00771404" w:rsidRDefault="00F2791C" w:rsidP="00F2791C">
      <w:pPr>
        <w:pStyle w:val="FootnoteText"/>
        <w:rPr>
          <w:rFonts w:ascii="Times New Roman" w:hAnsi="Times New Roman" w:cs="Times New Roman"/>
          <w:sz w:val="28"/>
          <w:szCs w:val="28"/>
        </w:rPr>
      </w:pPr>
      <w:r w:rsidRPr="00771404">
        <w:rPr>
          <w:rStyle w:val="FootnoteReference"/>
          <w:rFonts w:ascii="Times New Roman" w:hAnsi="Times New Roman" w:cs="Times New Roman"/>
          <w:sz w:val="28"/>
          <w:szCs w:val="28"/>
        </w:rPr>
        <w:footnoteRef/>
      </w:r>
      <w:r w:rsidRPr="00771404">
        <w:rPr>
          <w:rFonts w:ascii="Times New Roman" w:hAnsi="Times New Roman" w:cs="Times New Roman"/>
          <w:sz w:val="28"/>
          <w:szCs w:val="28"/>
        </w:rPr>
        <w:t xml:space="preserve"> </w:t>
      </w:r>
      <w:r w:rsidRPr="00771404">
        <w:rPr>
          <w:rFonts w:ascii="Times New Roman" w:hAnsi="Times New Roman" w:cs="Times New Roman"/>
          <w:i/>
          <w:sz w:val="28"/>
          <w:szCs w:val="28"/>
        </w:rPr>
        <w:t>Id</w:t>
      </w:r>
      <w:r w:rsidRPr="00771404">
        <w:rPr>
          <w:rFonts w:ascii="Times New Roman" w:hAnsi="Times New Roman" w:cs="Times New Roman"/>
          <w:sz w:val="28"/>
          <w:szCs w:val="28"/>
        </w:rPr>
        <w:t xml:space="preserve">. at ¶ -15-24. </w:t>
      </w:r>
    </w:p>
  </w:footnote>
  <w:footnote w:id="8">
    <w:p w:rsidR="00A3569A" w:rsidRPr="00771404" w:rsidRDefault="00A3569A">
      <w:pPr>
        <w:pStyle w:val="FootnoteText"/>
        <w:rPr>
          <w:rFonts w:ascii="Times New Roman" w:hAnsi="Times New Roman" w:cs="Times New Roman"/>
          <w:sz w:val="28"/>
          <w:szCs w:val="28"/>
        </w:rPr>
      </w:pPr>
      <w:r w:rsidRPr="00771404">
        <w:rPr>
          <w:rStyle w:val="FootnoteReference"/>
          <w:rFonts w:ascii="Times New Roman" w:hAnsi="Times New Roman" w:cs="Times New Roman"/>
          <w:sz w:val="28"/>
          <w:szCs w:val="28"/>
        </w:rPr>
        <w:footnoteRef/>
      </w:r>
      <w:r w:rsidRPr="00771404">
        <w:rPr>
          <w:rFonts w:ascii="Times New Roman" w:hAnsi="Times New Roman" w:cs="Times New Roman"/>
          <w:sz w:val="28"/>
          <w:szCs w:val="28"/>
        </w:rPr>
        <w:t xml:space="preserve"> https://arstechnica.com/information-technology/2017/05/title-ii-hasnt-hurt-network-investment-according-to-the-isps-themselves/</w:t>
      </w:r>
    </w:p>
  </w:footnote>
  <w:footnote w:id="9">
    <w:p w:rsidR="000D4DC9" w:rsidRPr="00771404" w:rsidRDefault="000D4DC9">
      <w:pPr>
        <w:pStyle w:val="FootnoteText"/>
        <w:rPr>
          <w:rFonts w:ascii="Times New Roman" w:hAnsi="Times New Roman" w:cs="Times New Roman"/>
          <w:sz w:val="28"/>
          <w:szCs w:val="28"/>
        </w:rPr>
      </w:pPr>
      <w:r w:rsidRPr="00771404">
        <w:rPr>
          <w:rStyle w:val="FootnoteReference"/>
          <w:rFonts w:ascii="Times New Roman" w:hAnsi="Times New Roman" w:cs="Times New Roman"/>
          <w:sz w:val="28"/>
          <w:szCs w:val="28"/>
        </w:rPr>
        <w:footnoteRef/>
      </w:r>
      <w:r w:rsidRPr="00771404">
        <w:rPr>
          <w:rFonts w:ascii="Times New Roman" w:hAnsi="Times New Roman" w:cs="Times New Roman"/>
          <w:sz w:val="28"/>
          <w:szCs w:val="28"/>
        </w:rPr>
        <w:t xml:space="preserve"> https://consumerist.com/2016/02/09/did-net-neutrality-kill-broadband-investment-like-comcast-att-verizon-said-it-would/</w:t>
      </w:r>
    </w:p>
  </w:footnote>
  <w:footnote w:id="10">
    <w:p w:rsidR="001B44D7" w:rsidRPr="00771404" w:rsidRDefault="001B44D7" w:rsidP="001B44D7">
      <w:pPr>
        <w:rPr>
          <w:rFonts w:eastAsia="Calibri"/>
          <w:snapToGrid/>
          <w:kern w:val="0"/>
          <w:sz w:val="28"/>
          <w:szCs w:val="28"/>
        </w:rPr>
      </w:pPr>
      <w:r w:rsidRPr="00771404">
        <w:rPr>
          <w:rStyle w:val="FootnoteReference"/>
          <w:sz w:val="28"/>
          <w:szCs w:val="28"/>
        </w:rPr>
        <w:footnoteRef/>
      </w:r>
      <w:hyperlink r:id="rId1" w:history="1">
        <w:r w:rsidRPr="00771404">
          <w:rPr>
            <w:rStyle w:val="Hyperlink"/>
            <w:rFonts w:eastAsia="Calibri"/>
            <w:sz w:val="28"/>
            <w:szCs w:val="28"/>
          </w:rPr>
          <w:t>http://www.laweekly.com/news/the-end-of-net-neutrality-could-be-bad-for-heavily-minority-cities-like-los-angeles-8168043</w:t>
        </w:r>
      </w:hyperlink>
      <w:r w:rsidRPr="00771404">
        <w:rPr>
          <w:rFonts w:eastAsia="Calibri"/>
          <w:sz w:val="28"/>
          <w:szCs w:val="28"/>
        </w:rPr>
        <w:t xml:space="preserve">; </w:t>
      </w:r>
      <w:r w:rsidRPr="00771404">
        <w:rPr>
          <w:sz w:val="28"/>
          <w:szCs w:val="28"/>
        </w:rPr>
        <w:t xml:space="preserve"> </w:t>
      </w:r>
      <w:r w:rsidRPr="00771404">
        <w:rPr>
          <w:color w:val="4472C4" w:themeColor="accent1"/>
          <w:sz w:val="28"/>
          <w:szCs w:val="28"/>
        </w:rPr>
        <w:t>http://</w:t>
      </w:r>
      <w:hyperlink r:id="rId2" w:history="1">
        <w:r w:rsidRPr="00771404">
          <w:rPr>
            <w:rStyle w:val="Hyperlink"/>
            <w:rFonts w:eastAsia="Calibri"/>
            <w:sz w:val="28"/>
            <w:szCs w:val="28"/>
          </w:rPr>
          <w:t>www.cnet.com/news/do-isps-pay-minorities-to-oppose-net-neutrality/</w:t>
        </w:r>
      </w:hyperlink>
      <w:r w:rsidRPr="00771404">
        <w:rPr>
          <w:rFonts w:eastAsia="Calibri"/>
          <w:sz w:val="28"/>
          <w:szCs w:val="28"/>
        </w:rPr>
        <w:t xml:space="preserve">; </w:t>
      </w:r>
      <w:hyperlink r:id="rId3" w:history="1">
        <w:r w:rsidRPr="00771404">
          <w:rPr>
            <w:rStyle w:val="Hyperlink"/>
            <w:rFonts w:eastAsia="Calibri"/>
            <w:snapToGrid/>
            <w:kern w:val="0"/>
            <w:sz w:val="28"/>
            <w:szCs w:val="28"/>
          </w:rPr>
          <w:t>https://openmedia.org/en/net-neutrality-worth-upholding</w:t>
        </w:r>
      </w:hyperlink>
      <w:r w:rsidR="00B61EC2" w:rsidRPr="00771404">
        <w:rPr>
          <w:rStyle w:val="Hyperlink"/>
          <w:rFonts w:eastAsia="Calibri"/>
          <w:snapToGrid/>
          <w:kern w:val="0"/>
          <w:sz w:val="28"/>
          <w:szCs w:val="28"/>
        </w:rPr>
        <w:t>; https://consumerist.com/2016/02/09/did-net-neutrality-kill-broadband-investment-like-comcast-att-verizon-said-it-would/</w:t>
      </w:r>
    </w:p>
    <w:p w:rsidR="001B44D7" w:rsidRPr="001B44D7" w:rsidRDefault="001B44D7" w:rsidP="001B44D7">
      <w:pPr>
        <w:rPr>
          <w:rFonts w:ascii="Calibri" w:eastAsia="Calibri" w:hAnsi="Calibri"/>
          <w:snapToGrid/>
          <w:kern w:val="0"/>
          <w:szCs w:val="22"/>
        </w:rPr>
      </w:pPr>
    </w:p>
    <w:p w:rsidR="001B44D7" w:rsidRDefault="001B44D7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5B0EC6"/>
    <w:multiLevelType w:val="hybridMultilevel"/>
    <w:tmpl w:val="53C29B5C"/>
    <w:lvl w:ilvl="0" w:tplc="293EAC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A946E4"/>
    <w:multiLevelType w:val="hybridMultilevel"/>
    <w:tmpl w:val="D5140AC8"/>
    <w:lvl w:ilvl="0" w:tplc="1DA49AA2">
      <w:start w:val="1"/>
      <w:numFmt w:val="upperRoman"/>
      <w:pStyle w:val="Heading1"/>
      <w:lvlText w:val="%1."/>
      <w:lvlJc w:val="righ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91C"/>
    <w:rsid w:val="00073461"/>
    <w:rsid w:val="000850A3"/>
    <w:rsid w:val="000B1BDB"/>
    <w:rsid w:val="000D4DC9"/>
    <w:rsid w:val="001B44D7"/>
    <w:rsid w:val="00386EB4"/>
    <w:rsid w:val="003E4971"/>
    <w:rsid w:val="00435022"/>
    <w:rsid w:val="004D3CDC"/>
    <w:rsid w:val="006755C0"/>
    <w:rsid w:val="00765D21"/>
    <w:rsid w:val="00771404"/>
    <w:rsid w:val="007F7EB0"/>
    <w:rsid w:val="00867F69"/>
    <w:rsid w:val="008F221C"/>
    <w:rsid w:val="009C7154"/>
    <w:rsid w:val="00A3569A"/>
    <w:rsid w:val="00A517E1"/>
    <w:rsid w:val="00B3536E"/>
    <w:rsid w:val="00B61EC2"/>
    <w:rsid w:val="00BE6079"/>
    <w:rsid w:val="00CC6E9C"/>
    <w:rsid w:val="00CE06F2"/>
    <w:rsid w:val="00DB34BD"/>
    <w:rsid w:val="00DE2EB8"/>
    <w:rsid w:val="00F11474"/>
    <w:rsid w:val="00F24F6A"/>
    <w:rsid w:val="00F2791C"/>
    <w:rsid w:val="00F60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7B9A3F"/>
  <w15:docId w15:val="{7870CB95-B895-48CD-A2F8-5FB3DA4FA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2791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kern w:val="28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7154"/>
    <w:pPr>
      <w:keepNext/>
      <w:keepLines/>
      <w:widowControl/>
      <w:numPr>
        <w:numId w:val="1"/>
      </w:numPr>
      <w:spacing w:before="480" w:line="276" w:lineRule="auto"/>
      <w:ind w:left="720"/>
      <w:outlineLvl w:val="0"/>
    </w:pPr>
    <w:rPr>
      <w:rFonts w:eastAsiaTheme="majorEastAsia" w:cstheme="majorBidi"/>
      <w:b/>
      <w:bCs/>
      <w:snapToGrid/>
      <w:kern w:val="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nhideWhenUsed/>
    <w:rsid w:val="00F2791C"/>
    <w:pPr>
      <w:widowControl/>
      <w:tabs>
        <w:tab w:val="left" w:pos="360"/>
      </w:tabs>
    </w:pPr>
    <w:rPr>
      <w:rFonts w:asciiTheme="minorHAnsi" w:eastAsiaTheme="minorHAnsi" w:hAnsiTheme="minorHAnsi" w:cstheme="minorBidi"/>
      <w:snapToGrid/>
      <w:kern w:val="0"/>
      <w:sz w:val="20"/>
    </w:rPr>
  </w:style>
  <w:style w:type="character" w:customStyle="1" w:styleId="FootnoteTextChar">
    <w:name w:val="Footnote Text Char"/>
    <w:basedOn w:val="DefaultParagraphFont"/>
    <w:link w:val="FootnoteText"/>
    <w:rsid w:val="00F2791C"/>
    <w:rPr>
      <w:sz w:val="20"/>
      <w:szCs w:val="20"/>
    </w:rPr>
  </w:style>
  <w:style w:type="character" w:styleId="FootnoteReference">
    <w:name w:val="footnote reference"/>
    <w:aliases w:val="Style 12,(NECG) Footnote Reference,Appel note de bas de p,Style 124,o,fr,Style 3,Style 13,FR,Style 17,Style 6,Footnote Reference/,Style 7,Style 4,Style 34,Style 9,Footnote Reference1"/>
    <w:basedOn w:val="DefaultParagraphFont"/>
    <w:unhideWhenUsed/>
    <w:rsid w:val="00F2791C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9C7154"/>
    <w:rPr>
      <w:rFonts w:ascii="Times New Roman" w:eastAsiaTheme="majorEastAsia" w:hAnsi="Times New Roman" w:cstheme="majorBidi"/>
      <w:b/>
      <w:bCs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F607C6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F607C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4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461"/>
    <w:rPr>
      <w:rFonts w:ascii="Tahoma" w:eastAsia="Times New Roman" w:hAnsi="Tahoma" w:cs="Tahoma"/>
      <w:snapToGrid w:val="0"/>
      <w:kern w:val="28"/>
      <w:sz w:val="16"/>
      <w:szCs w:val="16"/>
    </w:rPr>
  </w:style>
  <w:style w:type="paragraph" w:styleId="ListParagraph">
    <w:name w:val="List Paragraph"/>
    <w:basedOn w:val="Normal"/>
    <w:uiPriority w:val="34"/>
    <w:qFormat/>
    <w:rsid w:val="000850A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C6E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6E9C"/>
    <w:rPr>
      <w:rFonts w:ascii="Times New Roman" w:eastAsia="Times New Roman" w:hAnsi="Times New Roman" w:cs="Times New Roman"/>
      <w:snapToGrid w:val="0"/>
      <w:kern w:val="28"/>
      <w:szCs w:val="20"/>
    </w:rPr>
  </w:style>
  <w:style w:type="paragraph" w:styleId="Footer">
    <w:name w:val="footer"/>
    <w:basedOn w:val="Normal"/>
    <w:link w:val="FooterChar"/>
    <w:uiPriority w:val="99"/>
    <w:unhideWhenUsed/>
    <w:rsid w:val="00CC6E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6E9C"/>
    <w:rPr>
      <w:rFonts w:ascii="Times New Roman" w:eastAsia="Times New Roman" w:hAnsi="Times New Roman" w:cs="Times New Roman"/>
      <w:snapToGrid w:val="0"/>
      <w:kern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hammond@scu.ed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openmedia.org/en/net-neutrality-worth-upholding" TargetMode="External"/><Relationship Id="rId2" Type="http://schemas.openxmlformats.org/officeDocument/2006/relationships/hyperlink" Target="http://www.cnet.com/news/do-isps-pay-minorities-to-oppose-net-neutrality/" TargetMode="External"/><Relationship Id="rId1" Type="http://schemas.openxmlformats.org/officeDocument/2006/relationships/hyperlink" Target="http://www.laweekly.com/news/the-end-of-net-neutrality-could-be-bad-for-heavily-minority-cities-like-los-angeles-816804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828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Santa Clara University</Company>
  <LinksUpToDate>false</LinksUpToDate>
  <CharactersWithSpaces>5542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Allen Hammond</dc:creator>
  <cp:lastModifiedBy>Allen Hammond</cp:lastModifiedBy>
  <cp:revision>3</cp:revision>
  <cp:lastPrinted>2017-08-30T20:38:00Z</cp:lastPrinted>
  <dcterms:created xsi:type="dcterms:W3CDTF">2017-08-31T03:43:00Z</dcterms:created>
  <dcterms:modified xsi:type="dcterms:W3CDTF">2017-08-31T04:28:00Z</dcterms:modified>
</cp:coreProperties>
</file>