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B22CB" w14:textId="77777777" w:rsidR="00AB1749" w:rsidRPr="00865557" w:rsidRDefault="00972ED5" w:rsidP="00EA0DFE">
      <w:pPr>
        <w:tabs>
          <w:tab w:val="center" w:pos="4680"/>
        </w:tabs>
        <w:jc w:val="center"/>
        <w:rPr>
          <w:rFonts w:ascii="Copperplate Gothic Bold" w:hAnsi="Copperplate Gothic Bold" w:cs="Copperplate Light SSi"/>
          <w:bCs/>
          <w:sz w:val="28"/>
          <w:szCs w:val="28"/>
        </w:rPr>
      </w:pPr>
      <w:r>
        <w:rPr>
          <w:rFonts w:ascii="Copperplate Gothic Bold" w:hAnsi="Copperplate Gothic Bold" w:cs="Copperplate Light SSi"/>
          <w:bCs/>
          <w:sz w:val="36"/>
          <w:szCs w:val="36"/>
        </w:rPr>
        <w:t>Steven I. Givot</w:t>
      </w:r>
    </w:p>
    <w:p w14:paraId="4462A342" w14:textId="77777777" w:rsidR="00EA0DFE" w:rsidRPr="00865557" w:rsidRDefault="00EA0DFE" w:rsidP="00EA0DFE">
      <w:pPr>
        <w:tabs>
          <w:tab w:val="center" w:pos="4680"/>
        </w:tabs>
        <w:jc w:val="center"/>
        <w:rPr>
          <w:rFonts w:ascii="Copperplate Gothic Bold" w:hAnsi="Copperplate Gothic Bold" w:cs="Copperplate Light SSi"/>
          <w:bCs/>
          <w:sz w:val="26"/>
          <w:szCs w:val="26"/>
        </w:rPr>
      </w:pPr>
      <w:r w:rsidRPr="00865557">
        <w:rPr>
          <w:rFonts w:ascii="Copperplate Gothic Bold" w:hAnsi="Copperplate Gothic Bold" w:cs="Copperplate Light SSi"/>
          <w:bCs/>
          <w:sz w:val="26"/>
          <w:szCs w:val="26"/>
        </w:rPr>
        <w:t>5107 North Western Avenue</w:t>
      </w:r>
    </w:p>
    <w:p w14:paraId="171DE8D4" w14:textId="77777777" w:rsidR="00C01067" w:rsidRDefault="00AB1749" w:rsidP="006D5AA4">
      <w:pPr>
        <w:tabs>
          <w:tab w:val="center" w:pos="4680"/>
        </w:tabs>
        <w:jc w:val="center"/>
        <w:rPr>
          <w:rFonts w:ascii="Arial" w:hAnsi="Arial" w:cs="Arial"/>
          <w:bCs/>
        </w:rPr>
      </w:pPr>
      <w:r w:rsidRPr="00865557">
        <w:rPr>
          <w:rFonts w:ascii="Copperplate Gothic Bold" w:hAnsi="Copperplate Gothic Bold" w:cs="Copperplate Light SSi"/>
          <w:bCs/>
          <w:sz w:val="26"/>
          <w:szCs w:val="26"/>
        </w:rPr>
        <w:t>Chicago, Illinois 606</w:t>
      </w:r>
      <w:r w:rsidR="00EA0DFE" w:rsidRPr="00865557">
        <w:rPr>
          <w:rFonts w:ascii="Copperplate Gothic Bold" w:hAnsi="Copperplate Gothic Bold" w:cs="Copperplate Light SSi"/>
          <w:bCs/>
          <w:sz w:val="26"/>
          <w:szCs w:val="26"/>
        </w:rPr>
        <w:t>25</w:t>
      </w:r>
    </w:p>
    <w:p w14:paraId="7179DC49" w14:textId="28460C6F" w:rsidR="004465E5" w:rsidRDefault="00AF7E04" w:rsidP="00AF7E04">
      <w:pPr>
        <w:tabs>
          <w:tab w:val="center" w:pos="4680"/>
        </w:tabs>
        <w:jc w:val="center"/>
        <w:rPr>
          <w:rFonts w:ascii="Arial" w:hAnsi="Arial" w:cs="Arial"/>
          <w:bCs/>
        </w:rPr>
      </w:pPr>
      <w:r>
        <w:rPr>
          <w:rFonts w:ascii="Arial" w:hAnsi="Arial" w:cs="Arial"/>
          <w:bCs/>
        </w:rPr>
        <w:t>September 2, 2019</w:t>
      </w:r>
    </w:p>
    <w:p w14:paraId="2257D385" w14:textId="1E5A5CF3" w:rsidR="00AF7E04" w:rsidRDefault="00AF7E04" w:rsidP="001A37DF">
      <w:pPr>
        <w:tabs>
          <w:tab w:val="center" w:pos="4680"/>
        </w:tabs>
        <w:rPr>
          <w:rFonts w:ascii="Arial" w:hAnsi="Arial" w:cs="Arial"/>
          <w:bCs/>
        </w:rPr>
      </w:pPr>
    </w:p>
    <w:p w14:paraId="0BACA2A2" w14:textId="78E7D7D9" w:rsidR="00AF7E04" w:rsidRDefault="00AF7E04" w:rsidP="001A37DF">
      <w:pPr>
        <w:tabs>
          <w:tab w:val="center" w:pos="4680"/>
        </w:tabs>
        <w:rPr>
          <w:rFonts w:ascii="Arial" w:hAnsi="Arial" w:cs="Arial"/>
          <w:bCs/>
        </w:rPr>
      </w:pPr>
    </w:p>
    <w:p w14:paraId="7150861B" w14:textId="3935B7C4" w:rsidR="00AF7E04" w:rsidRDefault="00AF7E04" w:rsidP="001A37DF">
      <w:pPr>
        <w:tabs>
          <w:tab w:val="center" w:pos="4680"/>
        </w:tabs>
        <w:rPr>
          <w:rFonts w:ascii="Arial" w:hAnsi="Arial" w:cs="Arial"/>
          <w:bCs/>
        </w:rPr>
      </w:pPr>
    </w:p>
    <w:p w14:paraId="5CD79AB7" w14:textId="1170BF67" w:rsidR="00AF7E04" w:rsidRDefault="00AF7E04" w:rsidP="001A37DF">
      <w:pPr>
        <w:tabs>
          <w:tab w:val="center" w:pos="4680"/>
        </w:tabs>
        <w:rPr>
          <w:rFonts w:ascii="Arial" w:hAnsi="Arial" w:cs="Arial"/>
          <w:bCs/>
        </w:rPr>
      </w:pPr>
      <w:r>
        <w:rPr>
          <w:rFonts w:ascii="Arial" w:hAnsi="Arial" w:cs="Arial"/>
          <w:bCs/>
        </w:rPr>
        <w:t>Federal Communications Commission</w:t>
      </w:r>
    </w:p>
    <w:p w14:paraId="2D6B99FA" w14:textId="61BFB753" w:rsidR="00AF7E04" w:rsidRDefault="00AF7E04" w:rsidP="001A37DF">
      <w:pPr>
        <w:tabs>
          <w:tab w:val="center" w:pos="4680"/>
        </w:tabs>
        <w:rPr>
          <w:rFonts w:ascii="Arial" w:hAnsi="Arial" w:cs="Arial"/>
          <w:bCs/>
        </w:rPr>
      </w:pPr>
      <w:r>
        <w:rPr>
          <w:rFonts w:ascii="Arial" w:hAnsi="Arial" w:cs="Arial"/>
          <w:bCs/>
        </w:rPr>
        <w:t>Submitted Electronically</w:t>
      </w:r>
    </w:p>
    <w:p w14:paraId="12E8DD7F" w14:textId="0A860BA9" w:rsidR="00AF7E04" w:rsidRDefault="00AF7E04" w:rsidP="001A37DF">
      <w:pPr>
        <w:tabs>
          <w:tab w:val="center" w:pos="4680"/>
        </w:tabs>
        <w:rPr>
          <w:rFonts w:ascii="Arial" w:hAnsi="Arial" w:cs="Arial"/>
          <w:bCs/>
        </w:rPr>
      </w:pPr>
    </w:p>
    <w:p w14:paraId="537A008D" w14:textId="0A73F6DF" w:rsidR="00AF7E04" w:rsidRDefault="00AF7E04" w:rsidP="001A37DF">
      <w:pPr>
        <w:tabs>
          <w:tab w:val="center" w:pos="4680"/>
        </w:tabs>
        <w:rPr>
          <w:rFonts w:ascii="Arial" w:hAnsi="Arial" w:cs="Arial"/>
          <w:bCs/>
        </w:rPr>
      </w:pPr>
    </w:p>
    <w:p w14:paraId="1DD26DBB" w14:textId="6B83FE1E" w:rsidR="00AF7E04" w:rsidRDefault="00AF7E04" w:rsidP="001A37DF">
      <w:pPr>
        <w:tabs>
          <w:tab w:val="center" w:pos="4680"/>
        </w:tabs>
        <w:rPr>
          <w:rFonts w:ascii="Arial" w:hAnsi="Arial" w:cs="Arial"/>
          <w:bCs/>
        </w:rPr>
      </w:pPr>
      <w:r>
        <w:rPr>
          <w:rFonts w:ascii="Arial" w:hAnsi="Arial" w:cs="Arial"/>
          <w:bCs/>
        </w:rPr>
        <w:t>Re:  17-59 and 17-97</w:t>
      </w:r>
    </w:p>
    <w:p w14:paraId="6B04E377" w14:textId="77777777" w:rsidR="006D5AA4" w:rsidRDefault="006D5AA4" w:rsidP="001A37DF">
      <w:pPr>
        <w:tabs>
          <w:tab w:val="center" w:pos="4680"/>
        </w:tabs>
        <w:rPr>
          <w:rFonts w:ascii="Arial" w:hAnsi="Arial" w:cs="Arial"/>
          <w:bCs/>
        </w:rPr>
      </w:pPr>
    </w:p>
    <w:p w14:paraId="35972B51" w14:textId="77777777" w:rsidR="00AA0E2E" w:rsidRDefault="00AA0E2E" w:rsidP="001A37DF">
      <w:pPr>
        <w:tabs>
          <w:tab w:val="center" w:pos="4680"/>
        </w:tabs>
        <w:rPr>
          <w:rFonts w:ascii="Arial" w:hAnsi="Arial" w:cs="Arial"/>
          <w:bCs/>
        </w:rPr>
      </w:pPr>
    </w:p>
    <w:p w14:paraId="0365893D" w14:textId="50AE4E6D" w:rsidR="006D5AA4" w:rsidRDefault="00AF7E04" w:rsidP="001A37DF">
      <w:pPr>
        <w:tabs>
          <w:tab w:val="center" w:pos="4680"/>
        </w:tabs>
        <w:rPr>
          <w:rFonts w:ascii="Arial" w:hAnsi="Arial" w:cs="Arial"/>
          <w:bCs/>
        </w:rPr>
      </w:pPr>
      <w:r>
        <w:rPr>
          <w:rFonts w:ascii="Arial" w:hAnsi="Arial" w:cs="Arial"/>
          <w:bCs/>
        </w:rPr>
        <w:t xml:space="preserve">To the </w:t>
      </w:r>
      <w:r w:rsidR="00DD3021">
        <w:rPr>
          <w:rFonts w:ascii="Arial" w:hAnsi="Arial" w:cs="Arial"/>
          <w:bCs/>
        </w:rPr>
        <w:t>Commissioners</w:t>
      </w:r>
      <w:r>
        <w:rPr>
          <w:rFonts w:ascii="Arial" w:hAnsi="Arial" w:cs="Arial"/>
          <w:bCs/>
        </w:rPr>
        <w:t>:</w:t>
      </w:r>
    </w:p>
    <w:p w14:paraId="77076EEA" w14:textId="7337094E" w:rsidR="00AF7E04" w:rsidRDefault="00AF7E04" w:rsidP="001A37DF">
      <w:pPr>
        <w:tabs>
          <w:tab w:val="center" w:pos="4680"/>
        </w:tabs>
        <w:rPr>
          <w:rFonts w:ascii="Arial" w:hAnsi="Arial" w:cs="Arial"/>
          <w:bCs/>
        </w:rPr>
      </w:pPr>
    </w:p>
    <w:p w14:paraId="216CF0BF" w14:textId="24C28246" w:rsidR="00AF7E04" w:rsidRDefault="00AF7E04" w:rsidP="001A37DF">
      <w:pPr>
        <w:tabs>
          <w:tab w:val="center" w:pos="4680"/>
        </w:tabs>
        <w:rPr>
          <w:rFonts w:ascii="Arial" w:hAnsi="Arial" w:cs="Arial"/>
          <w:bCs/>
        </w:rPr>
      </w:pPr>
      <w:r>
        <w:rPr>
          <w:rFonts w:ascii="Arial" w:hAnsi="Arial" w:cs="Arial"/>
          <w:bCs/>
        </w:rPr>
        <w:t>I apologize for the tardiness of this comment letter.  Only today did I become aware of these dockets.</w:t>
      </w:r>
    </w:p>
    <w:p w14:paraId="2E789D6E" w14:textId="643C50DD" w:rsidR="00AF7E04" w:rsidRDefault="00AF7E04" w:rsidP="001A37DF">
      <w:pPr>
        <w:tabs>
          <w:tab w:val="center" w:pos="4680"/>
        </w:tabs>
        <w:rPr>
          <w:rFonts w:ascii="Arial" w:hAnsi="Arial" w:cs="Arial"/>
          <w:bCs/>
        </w:rPr>
      </w:pPr>
    </w:p>
    <w:p w14:paraId="78F70832" w14:textId="026B1F26" w:rsidR="00AF7E04" w:rsidRDefault="00AF7E04" w:rsidP="001A37DF">
      <w:pPr>
        <w:tabs>
          <w:tab w:val="center" w:pos="4680"/>
        </w:tabs>
        <w:rPr>
          <w:rFonts w:ascii="Arial" w:hAnsi="Arial" w:cs="Arial"/>
          <w:bCs/>
        </w:rPr>
      </w:pPr>
      <w:r>
        <w:rPr>
          <w:rFonts w:ascii="Arial" w:hAnsi="Arial" w:cs="Arial"/>
          <w:bCs/>
        </w:rPr>
        <w:t xml:space="preserve">Robocalling and the resulting violations of the </w:t>
      </w:r>
      <w:r w:rsidR="00DD3021">
        <w:rPr>
          <w:rFonts w:ascii="Arial" w:hAnsi="Arial" w:cs="Arial"/>
          <w:bCs/>
        </w:rPr>
        <w:t>Telecommunications</w:t>
      </w:r>
      <w:r>
        <w:rPr>
          <w:rFonts w:ascii="Arial" w:hAnsi="Arial" w:cs="Arial"/>
          <w:bCs/>
        </w:rPr>
        <w:t xml:space="preserve"> Privacy Act are, as demonstrated by the release, serious problems. </w:t>
      </w:r>
    </w:p>
    <w:p w14:paraId="328A1A47" w14:textId="771EDA46" w:rsidR="00AF7E04" w:rsidRDefault="00AF7E04" w:rsidP="001A37DF">
      <w:pPr>
        <w:tabs>
          <w:tab w:val="center" w:pos="4680"/>
        </w:tabs>
        <w:rPr>
          <w:rFonts w:ascii="Arial" w:hAnsi="Arial" w:cs="Arial"/>
          <w:bCs/>
        </w:rPr>
      </w:pPr>
    </w:p>
    <w:p w14:paraId="75A8B061" w14:textId="5F448FDE" w:rsidR="00AF7E04" w:rsidRDefault="00AF7E04" w:rsidP="001A37DF">
      <w:pPr>
        <w:tabs>
          <w:tab w:val="center" w:pos="4680"/>
        </w:tabs>
        <w:rPr>
          <w:rFonts w:ascii="Arial" w:hAnsi="Arial" w:cs="Arial"/>
          <w:bCs/>
        </w:rPr>
      </w:pPr>
      <w:r>
        <w:rPr>
          <w:rFonts w:ascii="Arial" w:hAnsi="Arial" w:cs="Arial"/>
          <w:bCs/>
        </w:rPr>
        <w:t>My personal experience is that about 99% of the calls to my land line and about half of the calls to my mobile phone violate the Act.  The associated phone numbers are all on the Do Not Call List and have been for many years.</w:t>
      </w:r>
    </w:p>
    <w:p w14:paraId="645027E4" w14:textId="5159416B" w:rsidR="00AF7E04" w:rsidRDefault="00AF7E04" w:rsidP="001A37DF">
      <w:pPr>
        <w:tabs>
          <w:tab w:val="center" w:pos="4680"/>
        </w:tabs>
        <w:rPr>
          <w:rFonts w:ascii="Arial" w:hAnsi="Arial" w:cs="Arial"/>
          <w:bCs/>
        </w:rPr>
      </w:pPr>
    </w:p>
    <w:p w14:paraId="682F7F8F" w14:textId="013D7B0D" w:rsidR="00ED41EE" w:rsidRDefault="00ED41EE" w:rsidP="001A37DF">
      <w:pPr>
        <w:tabs>
          <w:tab w:val="center" w:pos="4680"/>
        </w:tabs>
        <w:rPr>
          <w:rFonts w:ascii="Arial" w:hAnsi="Arial" w:cs="Arial"/>
          <w:bCs/>
        </w:rPr>
      </w:pPr>
    </w:p>
    <w:p w14:paraId="2EA65CFE" w14:textId="51DFC3CA" w:rsidR="00ED41EE" w:rsidRPr="00ED41EE" w:rsidRDefault="00ED41EE" w:rsidP="001A37DF">
      <w:pPr>
        <w:tabs>
          <w:tab w:val="center" w:pos="4680"/>
        </w:tabs>
        <w:rPr>
          <w:rFonts w:ascii="Arial" w:hAnsi="Arial" w:cs="Arial"/>
          <w:b/>
          <w:u w:val="single"/>
        </w:rPr>
      </w:pPr>
      <w:r w:rsidRPr="00ED41EE">
        <w:rPr>
          <w:rFonts w:ascii="Arial" w:hAnsi="Arial" w:cs="Arial"/>
          <w:b/>
          <w:u w:val="single"/>
        </w:rPr>
        <w:t>Positive Caller ID</w:t>
      </w:r>
    </w:p>
    <w:p w14:paraId="203950DC" w14:textId="77777777" w:rsidR="00ED41EE" w:rsidRDefault="00ED41EE" w:rsidP="001A37DF">
      <w:pPr>
        <w:tabs>
          <w:tab w:val="center" w:pos="4680"/>
        </w:tabs>
        <w:rPr>
          <w:rFonts w:ascii="Arial" w:hAnsi="Arial" w:cs="Arial"/>
          <w:bCs/>
        </w:rPr>
      </w:pPr>
    </w:p>
    <w:p w14:paraId="7F1C3E53" w14:textId="3FBC756F" w:rsidR="00AF7E04" w:rsidRDefault="00AF7E04" w:rsidP="001A37DF">
      <w:pPr>
        <w:tabs>
          <w:tab w:val="center" w:pos="4680"/>
        </w:tabs>
        <w:rPr>
          <w:rFonts w:ascii="Arial" w:hAnsi="Arial" w:cs="Arial"/>
          <w:bCs/>
        </w:rPr>
      </w:pPr>
      <w:r>
        <w:rPr>
          <w:rFonts w:ascii="Arial" w:hAnsi="Arial" w:cs="Arial"/>
          <w:bCs/>
        </w:rPr>
        <w:t xml:space="preserve">You are correctly identified that lack of positive identification of the caller as a major hindrance to enforceability of the Act.  I don’t know the details of the SHAKEN/STIR solution.  However, if your experts believe that it will result in positive identification of the source of all calls, then I fully support it.  Note, please, that “all calls” must include calls made from VOIP sources and offshore sources.  If the solution does not cover those call sources, then you are filling one crack in the dam while leaving other identifiable cracks untreated, and the calls will continue to flow through the remaining cracks.  </w:t>
      </w:r>
    </w:p>
    <w:p w14:paraId="3BF20734" w14:textId="4F0B3499" w:rsidR="00AF7E04" w:rsidRDefault="00AF7E04" w:rsidP="001A37DF">
      <w:pPr>
        <w:tabs>
          <w:tab w:val="center" w:pos="4680"/>
        </w:tabs>
        <w:rPr>
          <w:rFonts w:ascii="Arial" w:hAnsi="Arial" w:cs="Arial"/>
          <w:bCs/>
        </w:rPr>
      </w:pPr>
    </w:p>
    <w:p w14:paraId="7BEDC232" w14:textId="31F40E57" w:rsidR="00AF7E04" w:rsidRDefault="00AF7E04" w:rsidP="001A37DF">
      <w:pPr>
        <w:tabs>
          <w:tab w:val="center" w:pos="4680"/>
        </w:tabs>
        <w:rPr>
          <w:rFonts w:ascii="Arial" w:hAnsi="Arial" w:cs="Arial"/>
          <w:bCs/>
        </w:rPr>
      </w:pPr>
      <w:r>
        <w:rPr>
          <w:rFonts w:ascii="Arial" w:hAnsi="Arial" w:cs="Arial"/>
          <w:bCs/>
        </w:rPr>
        <w:t>Said differently, half a solution is truly a half-assed solution.</w:t>
      </w:r>
    </w:p>
    <w:p w14:paraId="7AD6FA6A" w14:textId="2451BA68" w:rsidR="00AF7E04" w:rsidRDefault="00AF7E04" w:rsidP="001A37DF">
      <w:pPr>
        <w:tabs>
          <w:tab w:val="center" w:pos="4680"/>
        </w:tabs>
        <w:rPr>
          <w:rFonts w:ascii="Arial" w:hAnsi="Arial" w:cs="Arial"/>
          <w:bCs/>
        </w:rPr>
      </w:pPr>
    </w:p>
    <w:p w14:paraId="6E68F208" w14:textId="13964EAE" w:rsidR="00AF7E04" w:rsidRDefault="00AF7E04" w:rsidP="001A37DF">
      <w:pPr>
        <w:tabs>
          <w:tab w:val="center" w:pos="4680"/>
        </w:tabs>
        <w:rPr>
          <w:rFonts w:ascii="Arial" w:hAnsi="Arial" w:cs="Arial"/>
          <w:bCs/>
        </w:rPr>
      </w:pPr>
      <w:r>
        <w:rPr>
          <w:rFonts w:ascii="Arial" w:hAnsi="Arial" w:cs="Arial"/>
          <w:bCs/>
        </w:rPr>
        <w:t>Regarding completing this process by the end of 2019, I believe that there should be automatic, predefined financial sanctions (fines) for ALL “major” telephone service providers for failing to meet the deadline.  The fines should be mandatory and large enough to ensure compliance.  For a start, I think a fine of $10 million per day of non-compliance would strong motivate “major” telephone service providers to prioritize completion of this by year end.</w:t>
      </w:r>
    </w:p>
    <w:p w14:paraId="08552169" w14:textId="44EF7576" w:rsidR="00AF7E04" w:rsidRDefault="00AF7E04" w:rsidP="001A37DF">
      <w:pPr>
        <w:tabs>
          <w:tab w:val="center" w:pos="4680"/>
        </w:tabs>
        <w:rPr>
          <w:rFonts w:ascii="Arial" w:hAnsi="Arial" w:cs="Arial"/>
          <w:bCs/>
        </w:rPr>
      </w:pPr>
    </w:p>
    <w:p w14:paraId="317A122D" w14:textId="0E0FEA44" w:rsidR="00AF7E04" w:rsidRDefault="00AF7E04" w:rsidP="001A37DF">
      <w:pPr>
        <w:tabs>
          <w:tab w:val="center" w:pos="4680"/>
        </w:tabs>
        <w:rPr>
          <w:rFonts w:ascii="Arial" w:hAnsi="Arial" w:cs="Arial"/>
          <w:bCs/>
        </w:rPr>
      </w:pPr>
      <w:r>
        <w:rPr>
          <w:rFonts w:ascii="Arial" w:hAnsi="Arial" w:cs="Arial"/>
          <w:bCs/>
        </w:rPr>
        <w:lastRenderedPageBreak/>
        <w:t xml:space="preserve">That leaves open the question of getting </w:t>
      </w:r>
      <w:r>
        <w:rPr>
          <w:rFonts w:ascii="Arial" w:hAnsi="Arial" w:cs="Arial"/>
          <w:bCs/>
          <w:u w:val="single"/>
        </w:rPr>
        <w:t>other</w:t>
      </w:r>
      <w:r>
        <w:rPr>
          <w:rFonts w:ascii="Arial" w:hAnsi="Arial" w:cs="Arial"/>
          <w:bCs/>
        </w:rPr>
        <w:t xml:space="preserve"> (non-major) telephone service providers to comply.  There should be a deadline for their compliance, and the same fines should be in effect if they fail to comply by that deadline.  </w:t>
      </w:r>
    </w:p>
    <w:p w14:paraId="7221695F" w14:textId="77777777" w:rsidR="00AF7E04" w:rsidRPr="00AF7E04" w:rsidRDefault="00AF7E04" w:rsidP="001A37DF">
      <w:pPr>
        <w:tabs>
          <w:tab w:val="center" w:pos="4680"/>
        </w:tabs>
        <w:rPr>
          <w:rFonts w:ascii="Arial" w:hAnsi="Arial" w:cs="Arial"/>
          <w:bCs/>
        </w:rPr>
      </w:pPr>
    </w:p>
    <w:p w14:paraId="63C3F977" w14:textId="12C35CBE" w:rsidR="00AF7E04" w:rsidRDefault="00AF7E04" w:rsidP="001A37DF">
      <w:pPr>
        <w:tabs>
          <w:tab w:val="center" w:pos="4680"/>
        </w:tabs>
        <w:rPr>
          <w:rFonts w:ascii="Arial" w:hAnsi="Arial" w:cs="Arial"/>
          <w:bCs/>
        </w:rPr>
      </w:pPr>
      <w:r>
        <w:rPr>
          <w:rFonts w:ascii="Arial" w:hAnsi="Arial" w:cs="Arial"/>
          <w:bCs/>
        </w:rPr>
        <w:t xml:space="preserve">This is nothing like a huge, mandatory fine for failing to meet a define </w:t>
      </w:r>
      <w:r w:rsidR="00ED41EE">
        <w:rPr>
          <w:rFonts w:ascii="Arial" w:hAnsi="Arial" w:cs="Arial"/>
          <w:bCs/>
        </w:rPr>
        <w:t>result by a defined deadline to motivate corporate executives to prioritize meeting the deadline.</w:t>
      </w:r>
    </w:p>
    <w:p w14:paraId="6BC990DB" w14:textId="2EC7055D" w:rsidR="00ED41EE" w:rsidRDefault="00ED41EE" w:rsidP="001A37DF">
      <w:pPr>
        <w:tabs>
          <w:tab w:val="center" w:pos="4680"/>
        </w:tabs>
        <w:rPr>
          <w:rFonts w:ascii="Arial" w:hAnsi="Arial" w:cs="Arial"/>
          <w:bCs/>
        </w:rPr>
      </w:pPr>
    </w:p>
    <w:p w14:paraId="24259887" w14:textId="1066FB3F" w:rsidR="00ED41EE" w:rsidRDefault="00ED41EE" w:rsidP="001A37DF">
      <w:pPr>
        <w:tabs>
          <w:tab w:val="center" w:pos="4680"/>
        </w:tabs>
        <w:rPr>
          <w:rFonts w:ascii="Arial" w:hAnsi="Arial" w:cs="Arial"/>
          <w:bCs/>
        </w:rPr>
      </w:pPr>
    </w:p>
    <w:p w14:paraId="59C151B6" w14:textId="7C075F53" w:rsidR="00ED41EE" w:rsidRPr="00ED41EE" w:rsidRDefault="00ED41EE" w:rsidP="001A37DF">
      <w:pPr>
        <w:tabs>
          <w:tab w:val="center" w:pos="4680"/>
        </w:tabs>
        <w:rPr>
          <w:rFonts w:ascii="Arial" w:hAnsi="Arial" w:cs="Arial"/>
          <w:b/>
          <w:u w:val="single"/>
        </w:rPr>
      </w:pPr>
      <w:r w:rsidRPr="00ED41EE">
        <w:rPr>
          <w:rFonts w:ascii="Arial" w:hAnsi="Arial" w:cs="Arial"/>
          <w:b/>
          <w:u w:val="single"/>
        </w:rPr>
        <w:t>Sanctions Against TCPA Violations</w:t>
      </w:r>
    </w:p>
    <w:p w14:paraId="41E0E8B7" w14:textId="6C4C8E2B" w:rsidR="00ED41EE" w:rsidRDefault="00ED41EE" w:rsidP="001A37DF">
      <w:pPr>
        <w:tabs>
          <w:tab w:val="center" w:pos="4680"/>
        </w:tabs>
        <w:rPr>
          <w:rFonts w:ascii="Arial" w:hAnsi="Arial" w:cs="Arial"/>
          <w:bCs/>
        </w:rPr>
      </w:pPr>
    </w:p>
    <w:p w14:paraId="4FF6F1B8" w14:textId="4B3267C4" w:rsidR="00ED41EE" w:rsidRDefault="00ED41EE" w:rsidP="001A37DF">
      <w:pPr>
        <w:tabs>
          <w:tab w:val="center" w:pos="4680"/>
        </w:tabs>
        <w:rPr>
          <w:rFonts w:ascii="Arial" w:hAnsi="Arial" w:cs="Arial"/>
          <w:bCs/>
        </w:rPr>
      </w:pPr>
      <w:r>
        <w:rPr>
          <w:rFonts w:ascii="Arial" w:hAnsi="Arial" w:cs="Arial"/>
          <w:bCs/>
        </w:rPr>
        <w:t xml:space="preserve">With call </w:t>
      </w:r>
      <w:r w:rsidR="00DD3021">
        <w:rPr>
          <w:rFonts w:ascii="Arial" w:hAnsi="Arial" w:cs="Arial"/>
          <w:bCs/>
        </w:rPr>
        <w:t>recipients</w:t>
      </w:r>
      <w:r>
        <w:rPr>
          <w:rFonts w:ascii="Arial" w:hAnsi="Arial" w:cs="Arial"/>
          <w:bCs/>
        </w:rPr>
        <w:t xml:space="preserve"> and the government unable to identify the true source of calls which violate TCPA, strong enforcement has often been out of reach.  With SHAKEN/STIR, this should end.</w:t>
      </w:r>
    </w:p>
    <w:p w14:paraId="7F6E14A0" w14:textId="3D1A4539" w:rsidR="00ED41EE" w:rsidRDefault="00ED41EE" w:rsidP="001A37DF">
      <w:pPr>
        <w:tabs>
          <w:tab w:val="center" w:pos="4680"/>
        </w:tabs>
        <w:rPr>
          <w:rFonts w:ascii="Arial" w:hAnsi="Arial" w:cs="Arial"/>
          <w:bCs/>
        </w:rPr>
      </w:pPr>
    </w:p>
    <w:p w14:paraId="27C1ADA9" w14:textId="77777777" w:rsidR="00ED41EE" w:rsidRDefault="00ED41EE" w:rsidP="001A37DF">
      <w:pPr>
        <w:tabs>
          <w:tab w:val="center" w:pos="4680"/>
        </w:tabs>
        <w:rPr>
          <w:rFonts w:ascii="Arial" w:hAnsi="Arial" w:cs="Arial"/>
          <w:bCs/>
        </w:rPr>
      </w:pPr>
      <w:r>
        <w:rPr>
          <w:rFonts w:ascii="Arial" w:hAnsi="Arial" w:cs="Arial"/>
          <w:bCs/>
        </w:rPr>
        <w:t xml:space="preserve">I propose an automated, online TCPA violation complaint system which would aggregate data of the companies against which complaints are filed.  Each complainant would be required to attest (online) to the facts of the complaint filed.  </w:t>
      </w:r>
    </w:p>
    <w:p w14:paraId="66E53A91" w14:textId="77777777" w:rsidR="00ED41EE" w:rsidRDefault="00ED41EE" w:rsidP="001A37DF">
      <w:pPr>
        <w:tabs>
          <w:tab w:val="center" w:pos="4680"/>
        </w:tabs>
        <w:rPr>
          <w:rFonts w:ascii="Arial" w:hAnsi="Arial" w:cs="Arial"/>
          <w:bCs/>
        </w:rPr>
      </w:pPr>
    </w:p>
    <w:p w14:paraId="0C5A4B47" w14:textId="0D2603E8" w:rsidR="00ED41EE" w:rsidRDefault="00ED41EE" w:rsidP="001A37DF">
      <w:pPr>
        <w:tabs>
          <w:tab w:val="center" w:pos="4680"/>
        </w:tabs>
        <w:rPr>
          <w:rFonts w:ascii="Arial" w:hAnsi="Arial" w:cs="Arial"/>
          <w:bCs/>
        </w:rPr>
      </w:pPr>
      <w:r>
        <w:rPr>
          <w:rFonts w:ascii="Arial" w:hAnsi="Arial" w:cs="Arial"/>
          <w:bCs/>
        </w:rPr>
        <w:t xml:space="preserve">When complaints reach a certain level (number of complaints and number of complainants), </w:t>
      </w:r>
      <w:r w:rsidRPr="00ED41EE">
        <w:rPr>
          <w:rFonts w:ascii="Arial" w:hAnsi="Arial" w:cs="Arial"/>
          <w:bCs/>
          <w:u w:val="single"/>
        </w:rPr>
        <w:t xml:space="preserve">a presumption of violation would be </w:t>
      </w:r>
      <w:r w:rsidR="00DD3021" w:rsidRPr="00ED41EE">
        <w:rPr>
          <w:rFonts w:ascii="Arial" w:hAnsi="Arial" w:cs="Arial"/>
          <w:bCs/>
          <w:u w:val="single"/>
        </w:rPr>
        <w:t>made,</w:t>
      </w:r>
      <w:r w:rsidRPr="00ED41EE">
        <w:rPr>
          <w:rFonts w:ascii="Arial" w:hAnsi="Arial" w:cs="Arial"/>
          <w:bCs/>
          <w:u w:val="single"/>
        </w:rPr>
        <w:t xml:space="preserve"> </w:t>
      </w:r>
      <w:r>
        <w:rPr>
          <w:rFonts w:ascii="Arial" w:hAnsi="Arial" w:cs="Arial"/>
          <w:bCs/>
        </w:rPr>
        <w:t xml:space="preserve">and the alleged violator would be sent a Notice of Fine.  The size of the fine would be </w:t>
      </w:r>
      <w:r w:rsidR="00DD3021">
        <w:rPr>
          <w:rFonts w:ascii="Arial" w:hAnsi="Arial" w:cs="Arial"/>
          <w:bCs/>
        </w:rPr>
        <w:t>determined</w:t>
      </w:r>
      <w:r>
        <w:rPr>
          <w:rFonts w:ascii="Arial" w:hAnsi="Arial" w:cs="Arial"/>
          <w:bCs/>
        </w:rPr>
        <w:t xml:space="preserve"> by formula based on the number of complaints and the number of complainants.  The amount of the fine would grow significantly as the number of complaints and the number of complainants grows.</w:t>
      </w:r>
    </w:p>
    <w:p w14:paraId="3DDEC2C9" w14:textId="77777777" w:rsidR="00ED41EE" w:rsidRDefault="00ED41EE" w:rsidP="001A37DF">
      <w:pPr>
        <w:tabs>
          <w:tab w:val="center" w:pos="4680"/>
        </w:tabs>
        <w:rPr>
          <w:rFonts w:ascii="Arial" w:hAnsi="Arial" w:cs="Arial"/>
          <w:bCs/>
        </w:rPr>
      </w:pPr>
    </w:p>
    <w:p w14:paraId="1CF161FF" w14:textId="27CDF264" w:rsidR="00ED41EE" w:rsidRPr="00B60849" w:rsidRDefault="00ED41EE" w:rsidP="001A37DF">
      <w:pPr>
        <w:tabs>
          <w:tab w:val="center" w:pos="4680"/>
        </w:tabs>
        <w:rPr>
          <w:rFonts w:ascii="Arial" w:hAnsi="Arial" w:cs="Arial"/>
          <w:bCs/>
          <w:u w:val="single"/>
        </w:rPr>
      </w:pPr>
      <w:r>
        <w:rPr>
          <w:rFonts w:ascii="Arial" w:hAnsi="Arial" w:cs="Arial"/>
          <w:bCs/>
        </w:rPr>
        <w:t>The recipient of a Notice of Fine would be entitled to a hearing.  As part of the hearing request, the company would be required to submit a complete list of all telephone numbers it had in use as well as the telephone numbers, dates, and times of every call made from each telephone number.  They would</w:t>
      </w:r>
      <w:r w:rsidR="00DD3021">
        <w:rPr>
          <w:rFonts w:ascii="Arial" w:hAnsi="Arial" w:cs="Arial"/>
          <w:bCs/>
        </w:rPr>
        <w:t xml:space="preserve"> be</w:t>
      </w:r>
      <w:r>
        <w:rPr>
          <w:rFonts w:ascii="Arial" w:hAnsi="Arial" w:cs="Arial"/>
          <w:bCs/>
        </w:rPr>
        <w:t xml:space="preserve"> required to submit data which might prove their violation.  </w:t>
      </w:r>
      <w:r w:rsidRPr="00B60849">
        <w:rPr>
          <w:rFonts w:ascii="Arial" w:hAnsi="Arial" w:cs="Arial"/>
          <w:bCs/>
          <w:u w:val="single"/>
        </w:rPr>
        <w:t>Failure to provide all such information would be a criminal act.</w:t>
      </w:r>
    </w:p>
    <w:p w14:paraId="5B093734" w14:textId="77777777" w:rsidR="00ED41EE" w:rsidRDefault="00ED41EE" w:rsidP="001A37DF">
      <w:pPr>
        <w:tabs>
          <w:tab w:val="center" w:pos="4680"/>
        </w:tabs>
        <w:rPr>
          <w:rFonts w:ascii="Arial" w:hAnsi="Arial" w:cs="Arial"/>
          <w:bCs/>
        </w:rPr>
      </w:pPr>
    </w:p>
    <w:p w14:paraId="33DE625E" w14:textId="04D45D51" w:rsidR="00ED41EE" w:rsidRDefault="00ED41EE" w:rsidP="001A37DF">
      <w:pPr>
        <w:tabs>
          <w:tab w:val="center" w:pos="4680"/>
        </w:tabs>
        <w:rPr>
          <w:rFonts w:ascii="Arial" w:hAnsi="Arial" w:cs="Arial"/>
          <w:bCs/>
        </w:rPr>
      </w:pPr>
      <w:r>
        <w:rPr>
          <w:rFonts w:ascii="Arial" w:hAnsi="Arial" w:cs="Arial"/>
          <w:bCs/>
        </w:rPr>
        <w:t xml:space="preserve">If, after the hearing is held, if the violation is upheld, the penalty for insisting on a hearing would </w:t>
      </w:r>
      <w:r>
        <w:rPr>
          <w:rFonts w:ascii="Arial" w:hAnsi="Arial" w:cs="Arial"/>
          <w:bCs/>
          <w:u w:val="single"/>
        </w:rPr>
        <w:t>double</w:t>
      </w:r>
      <w:r>
        <w:rPr>
          <w:rFonts w:ascii="Arial" w:hAnsi="Arial" w:cs="Arial"/>
          <w:bCs/>
        </w:rPr>
        <w:t xml:space="preserve">.  There should be a cost to trying to “beat the rap.”  Doubling the fine to cover the cost of the hearing would discourage companies from requesting a frivolous hearing. </w:t>
      </w:r>
    </w:p>
    <w:p w14:paraId="620CA957" w14:textId="1AC9624C" w:rsidR="00B60849" w:rsidRDefault="00B60849" w:rsidP="001A37DF">
      <w:pPr>
        <w:tabs>
          <w:tab w:val="center" w:pos="4680"/>
        </w:tabs>
        <w:rPr>
          <w:rFonts w:ascii="Arial" w:hAnsi="Arial" w:cs="Arial"/>
          <w:bCs/>
        </w:rPr>
      </w:pPr>
    </w:p>
    <w:p w14:paraId="3ACCC278" w14:textId="6DB0618D" w:rsidR="00B60849" w:rsidRDefault="00B60849" w:rsidP="001A37DF">
      <w:pPr>
        <w:tabs>
          <w:tab w:val="center" w:pos="4680"/>
        </w:tabs>
        <w:rPr>
          <w:rFonts w:ascii="Arial" w:hAnsi="Arial" w:cs="Arial"/>
          <w:bCs/>
        </w:rPr>
      </w:pPr>
      <w:r>
        <w:rPr>
          <w:rFonts w:ascii="Arial" w:hAnsi="Arial" w:cs="Arial"/>
          <w:bCs/>
        </w:rPr>
        <w:t xml:space="preserve">Additionally, violations over an extended </w:t>
      </w:r>
      <w:r w:rsidR="00DD3021">
        <w:rPr>
          <w:rFonts w:ascii="Arial" w:hAnsi="Arial" w:cs="Arial"/>
          <w:bCs/>
        </w:rPr>
        <w:t>period</w:t>
      </w:r>
      <w:r>
        <w:rPr>
          <w:rFonts w:ascii="Arial" w:hAnsi="Arial" w:cs="Arial"/>
          <w:bCs/>
        </w:rPr>
        <w:t xml:space="preserve"> – say, two years, for example – would be aggregated to determine the amount of the fine.  An example best illustrates this.</w:t>
      </w:r>
    </w:p>
    <w:p w14:paraId="75505FE9" w14:textId="277C7172" w:rsidR="00B60849" w:rsidRDefault="00B60849" w:rsidP="001A37DF">
      <w:pPr>
        <w:tabs>
          <w:tab w:val="center" w:pos="4680"/>
        </w:tabs>
        <w:rPr>
          <w:rFonts w:ascii="Arial" w:hAnsi="Arial" w:cs="Arial"/>
          <w:bCs/>
        </w:rPr>
      </w:pPr>
    </w:p>
    <w:p w14:paraId="6C18E95E" w14:textId="1C47DFE0" w:rsidR="00B60849" w:rsidRDefault="00B60849" w:rsidP="001A37DF">
      <w:pPr>
        <w:tabs>
          <w:tab w:val="center" w:pos="4680"/>
        </w:tabs>
        <w:rPr>
          <w:rFonts w:ascii="Arial" w:hAnsi="Arial" w:cs="Arial"/>
          <w:bCs/>
        </w:rPr>
      </w:pPr>
      <w:r>
        <w:rPr>
          <w:rFonts w:ascii="Arial" w:hAnsi="Arial" w:cs="Arial"/>
          <w:bCs/>
        </w:rPr>
        <w:t>Let’s us say, for this example, that the following table is established for fines:</w:t>
      </w:r>
    </w:p>
    <w:p w14:paraId="0C6444EF" w14:textId="7DB52CE8" w:rsidR="00B60849" w:rsidRDefault="00B60849" w:rsidP="001A37DF">
      <w:pPr>
        <w:tabs>
          <w:tab w:val="center" w:pos="4680"/>
        </w:tabs>
        <w:rPr>
          <w:rFonts w:ascii="Arial" w:hAnsi="Arial" w:cs="Arial"/>
          <w:bCs/>
        </w:rPr>
      </w:pPr>
    </w:p>
    <w:p w14:paraId="2A88C74E" w14:textId="5C52BB19" w:rsidR="00B60849" w:rsidRDefault="00B60849">
      <w:pPr>
        <w:widowControl/>
        <w:autoSpaceDE/>
        <w:autoSpaceDN/>
        <w:adjustRightInd/>
        <w:rPr>
          <w:rFonts w:ascii="Arial" w:hAnsi="Arial" w:cs="Arial"/>
          <w:bCs/>
        </w:rPr>
      </w:pPr>
      <w:r>
        <w:rPr>
          <w:rFonts w:ascii="Arial" w:hAnsi="Arial" w:cs="Arial"/>
          <w:bCs/>
        </w:rPr>
        <w:br w:type="page"/>
      </w:r>
    </w:p>
    <w:tbl>
      <w:tblPr>
        <w:tblStyle w:val="TableGrid0"/>
        <w:tblW w:w="0" w:type="auto"/>
        <w:tblInd w:w="715" w:type="dxa"/>
        <w:tblLook w:val="04A0" w:firstRow="1" w:lastRow="0" w:firstColumn="1" w:lastColumn="0" w:noHBand="0" w:noVBand="1"/>
      </w:tblPr>
      <w:tblGrid>
        <w:gridCol w:w="3960"/>
        <w:gridCol w:w="3420"/>
      </w:tblGrid>
      <w:tr w:rsidR="00B60849" w14:paraId="2D034FF9" w14:textId="77777777" w:rsidTr="00B60849">
        <w:tc>
          <w:tcPr>
            <w:tcW w:w="3960" w:type="dxa"/>
            <w:shd w:val="clear" w:color="auto" w:fill="BFBFBF" w:themeFill="background1" w:themeFillShade="BF"/>
          </w:tcPr>
          <w:p w14:paraId="74389411" w14:textId="7A98AD19" w:rsidR="00B60849" w:rsidRPr="00B60849" w:rsidRDefault="00B60849" w:rsidP="001A37DF">
            <w:pPr>
              <w:tabs>
                <w:tab w:val="center" w:pos="4680"/>
              </w:tabs>
              <w:rPr>
                <w:rFonts w:ascii="Arial" w:hAnsi="Arial" w:cs="Arial"/>
                <w:b/>
              </w:rPr>
            </w:pPr>
            <w:r w:rsidRPr="00B60849">
              <w:rPr>
                <w:rFonts w:ascii="Arial" w:hAnsi="Arial" w:cs="Arial"/>
                <w:b/>
              </w:rPr>
              <w:lastRenderedPageBreak/>
              <w:t>NUMBER OF VIOLATIVE CALLS</w:t>
            </w:r>
          </w:p>
        </w:tc>
        <w:tc>
          <w:tcPr>
            <w:tcW w:w="3420" w:type="dxa"/>
            <w:shd w:val="clear" w:color="auto" w:fill="BFBFBF" w:themeFill="background1" w:themeFillShade="BF"/>
          </w:tcPr>
          <w:p w14:paraId="39953AF3" w14:textId="4D9B5D1F" w:rsidR="00B60849" w:rsidRPr="00B60849" w:rsidRDefault="00B60849" w:rsidP="001A37DF">
            <w:pPr>
              <w:tabs>
                <w:tab w:val="center" w:pos="4680"/>
              </w:tabs>
              <w:rPr>
                <w:rFonts w:ascii="Arial" w:hAnsi="Arial" w:cs="Arial"/>
                <w:b/>
              </w:rPr>
            </w:pPr>
            <w:r w:rsidRPr="00B60849">
              <w:rPr>
                <w:rFonts w:ascii="Arial" w:hAnsi="Arial" w:cs="Arial"/>
                <w:b/>
              </w:rPr>
              <w:t>FINE PER VIOLATIVE CALL</w:t>
            </w:r>
          </w:p>
        </w:tc>
      </w:tr>
      <w:tr w:rsidR="00B60849" w14:paraId="26CDA9A3" w14:textId="77777777" w:rsidTr="00B60849">
        <w:tc>
          <w:tcPr>
            <w:tcW w:w="3960" w:type="dxa"/>
          </w:tcPr>
          <w:p w14:paraId="731FD92C" w14:textId="4285889C" w:rsidR="00B60849" w:rsidRDefault="00B60849" w:rsidP="00B60849">
            <w:pPr>
              <w:tabs>
                <w:tab w:val="center" w:pos="4680"/>
              </w:tabs>
              <w:jc w:val="center"/>
              <w:rPr>
                <w:rFonts w:ascii="Arial" w:hAnsi="Arial" w:cs="Arial"/>
                <w:bCs/>
              </w:rPr>
            </w:pPr>
            <w:r>
              <w:rPr>
                <w:rFonts w:ascii="Arial" w:hAnsi="Arial" w:cs="Arial"/>
                <w:bCs/>
              </w:rPr>
              <w:t>1-1,000</w:t>
            </w:r>
          </w:p>
        </w:tc>
        <w:tc>
          <w:tcPr>
            <w:tcW w:w="3420" w:type="dxa"/>
          </w:tcPr>
          <w:p w14:paraId="27DB6565" w14:textId="7C1CA2E4" w:rsidR="00B60849" w:rsidRDefault="00B60849" w:rsidP="00B60849">
            <w:pPr>
              <w:tabs>
                <w:tab w:val="center" w:pos="4680"/>
              </w:tabs>
              <w:jc w:val="center"/>
              <w:rPr>
                <w:rFonts w:ascii="Arial" w:hAnsi="Arial" w:cs="Arial"/>
                <w:bCs/>
              </w:rPr>
            </w:pPr>
            <w:r>
              <w:rPr>
                <w:rFonts w:ascii="Arial" w:hAnsi="Arial" w:cs="Arial"/>
                <w:bCs/>
              </w:rPr>
              <w:t>$100</w:t>
            </w:r>
          </w:p>
        </w:tc>
      </w:tr>
      <w:tr w:rsidR="00B60849" w14:paraId="035B94B7" w14:textId="77777777" w:rsidTr="00B60849">
        <w:tc>
          <w:tcPr>
            <w:tcW w:w="3960" w:type="dxa"/>
          </w:tcPr>
          <w:p w14:paraId="3AF192CE" w14:textId="5B762C61" w:rsidR="00B60849" w:rsidRDefault="00B60849" w:rsidP="00B60849">
            <w:pPr>
              <w:tabs>
                <w:tab w:val="center" w:pos="4680"/>
              </w:tabs>
              <w:jc w:val="center"/>
              <w:rPr>
                <w:rFonts w:ascii="Arial" w:hAnsi="Arial" w:cs="Arial"/>
                <w:bCs/>
              </w:rPr>
            </w:pPr>
            <w:r>
              <w:rPr>
                <w:rFonts w:ascii="Arial" w:hAnsi="Arial" w:cs="Arial"/>
                <w:bCs/>
              </w:rPr>
              <w:t>1,001 – 10,000</w:t>
            </w:r>
          </w:p>
        </w:tc>
        <w:tc>
          <w:tcPr>
            <w:tcW w:w="3420" w:type="dxa"/>
          </w:tcPr>
          <w:p w14:paraId="6099B257" w14:textId="71A1FD03" w:rsidR="00B60849" w:rsidRDefault="00B60849" w:rsidP="00B60849">
            <w:pPr>
              <w:tabs>
                <w:tab w:val="center" w:pos="4680"/>
              </w:tabs>
              <w:jc w:val="center"/>
              <w:rPr>
                <w:rFonts w:ascii="Arial" w:hAnsi="Arial" w:cs="Arial"/>
                <w:bCs/>
              </w:rPr>
            </w:pPr>
            <w:r>
              <w:rPr>
                <w:rFonts w:ascii="Arial" w:hAnsi="Arial" w:cs="Arial"/>
                <w:bCs/>
              </w:rPr>
              <w:t>$200</w:t>
            </w:r>
          </w:p>
        </w:tc>
      </w:tr>
      <w:tr w:rsidR="00B60849" w14:paraId="1A5872A6" w14:textId="77777777" w:rsidTr="00B60849">
        <w:tc>
          <w:tcPr>
            <w:tcW w:w="3960" w:type="dxa"/>
          </w:tcPr>
          <w:p w14:paraId="6B64F38A" w14:textId="3423C76D" w:rsidR="00B60849" w:rsidRDefault="00B60849" w:rsidP="00B60849">
            <w:pPr>
              <w:tabs>
                <w:tab w:val="center" w:pos="4680"/>
              </w:tabs>
              <w:jc w:val="center"/>
              <w:rPr>
                <w:rFonts w:ascii="Arial" w:hAnsi="Arial" w:cs="Arial"/>
                <w:bCs/>
              </w:rPr>
            </w:pPr>
            <w:r>
              <w:rPr>
                <w:rFonts w:ascii="Arial" w:hAnsi="Arial" w:cs="Arial"/>
                <w:bCs/>
              </w:rPr>
              <w:t>10,001-100,000</w:t>
            </w:r>
          </w:p>
        </w:tc>
        <w:tc>
          <w:tcPr>
            <w:tcW w:w="3420" w:type="dxa"/>
          </w:tcPr>
          <w:p w14:paraId="1ADFE4C7" w14:textId="6E74436A" w:rsidR="00B60849" w:rsidRDefault="00B60849" w:rsidP="00B60849">
            <w:pPr>
              <w:tabs>
                <w:tab w:val="center" w:pos="4680"/>
              </w:tabs>
              <w:jc w:val="center"/>
              <w:rPr>
                <w:rFonts w:ascii="Arial" w:hAnsi="Arial" w:cs="Arial"/>
                <w:bCs/>
              </w:rPr>
            </w:pPr>
            <w:r>
              <w:rPr>
                <w:rFonts w:ascii="Arial" w:hAnsi="Arial" w:cs="Arial"/>
                <w:bCs/>
              </w:rPr>
              <w:t>$500</w:t>
            </w:r>
          </w:p>
        </w:tc>
      </w:tr>
      <w:tr w:rsidR="00B60849" w14:paraId="605FE7C4" w14:textId="77777777" w:rsidTr="00B60849">
        <w:tc>
          <w:tcPr>
            <w:tcW w:w="3960" w:type="dxa"/>
          </w:tcPr>
          <w:p w14:paraId="4E33014D" w14:textId="5CCCBCD5" w:rsidR="00B60849" w:rsidRDefault="00B60849" w:rsidP="00B60849">
            <w:pPr>
              <w:tabs>
                <w:tab w:val="center" w:pos="4680"/>
              </w:tabs>
              <w:jc w:val="center"/>
              <w:rPr>
                <w:rFonts w:ascii="Arial" w:hAnsi="Arial" w:cs="Arial"/>
                <w:bCs/>
              </w:rPr>
            </w:pPr>
            <w:r>
              <w:rPr>
                <w:rFonts w:ascii="Arial" w:hAnsi="Arial" w:cs="Arial"/>
                <w:bCs/>
              </w:rPr>
              <w:t>100,001 or more</w:t>
            </w:r>
          </w:p>
        </w:tc>
        <w:tc>
          <w:tcPr>
            <w:tcW w:w="3420" w:type="dxa"/>
          </w:tcPr>
          <w:p w14:paraId="15C5CD41" w14:textId="46FAEF02" w:rsidR="00B60849" w:rsidRDefault="00B60849" w:rsidP="00B60849">
            <w:pPr>
              <w:tabs>
                <w:tab w:val="center" w:pos="4680"/>
              </w:tabs>
              <w:jc w:val="center"/>
              <w:rPr>
                <w:rFonts w:ascii="Arial" w:hAnsi="Arial" w:cs="Arial"/>
                <w:bCs/>
              </w:rPr>
            </w:pPr>
            <w:r>
              <w:rPr>
                <w:rFonts w:ascii="Arial" w:hAnsi="Arial" w:cs="Arial"/>
                <w:bCs/>
              </w:rPr>
              <w:t>$1,000</w:t>
            </w:r>
          </w:p>
        </w:tc>
      </w:tr>
    </w:tbl>
    <w:p w14:paraId="6CE09E06" w14:textId="23AFE796" w:rsidR="00B60849" w:rsidRDefault="00B60849" w:rsidP="001A37DF">
      <w:pPr>
        <w:tabs>
          <w:tab w:val="center" w:pos="4680"/>
        </w:tabs>
        <w:rPr>
          <w:rFonts w:ascii="Arial" w:hAnsi="Arial" w:cs="Arial"/>
          <w:bCs/>
        </w:rPr>
      </w:pPr>
    </w:p>
    <w:p w14:paraId="2BD5DBD4" w14:textId="77777777" w:rsidR="00B60849" w:rsidRDefault="00B60849" w:rsidP="001A37DF">
      <w:pPr>
        <w:tabs>
          <w:tab w:val="center" w:pos="4680"/>
        </w:tabs>
        <w:rPr>
          <w:rFonts w:ascii="Arial" w:hAnsi="Arial" w:cs="Arial"/>
          <w:bCs/>
        </w:rPr>
      </w:pPr>
    </w:p>
    <w:p w14:paraId="49D13A5D" w14:textId="07C7C2BD" w:rsidR="00B60849" w:rsidRDefault="00B60849" w:rsidP="001A37DF">
      <w:pPr>
        <w:tabs>
          <w:tab w:val="center" w:pos="4680"/>
        </w:tabs>
        <w:rPr>
          <w:rFonts w:ascii="Arial" w:hAnsi="Arial" w:cs="Arial"/>
          <w:bCs/>
        </w:rPr>
      </w:pPr>
      <w:r>
        <w:rPr>
          <w:rFonts w:ascii="Arial" w:hAnsi="Arial" w:cs="Arial"/>
          <w:bCs/>
        </w:rPr>
        <w:t>Assume that fines are aggregated for a two year period with computations made semi-annually.</w:t>
      </w:r>
    </w:p>
    <w:p w14:paraId="158681A3" w14:textId="77777777" w:rsidR="00B60849" w:rsidRDefault="00B60849" w:rsidP="001A37DF">
      <w:pPr>
        <w:tabs>
          <w:tab w:val="center" w:pos="4680"/>
        </w:tabs>
        <w:rPr>
          <w:rFonts w:ascii="Arial" w:hAnsi="Arial" w:cs="Arial"/>
          <w:bCs/>
        </w:rPr>
      </w:pPr>
    </w:p>
    <w:p w14:paraId="672FA60E" w14:textId="465F1C65" w:rsidR="00B60849" w:rsidRDefault="00B60849" w:rsidP="001A37DF">
      <w:pPr>
        <w:tabs>
          <w:tab w:val="center" w:pos="4680"/>
        </w:tabs>
        <w:rPr>
          <w:rFonts w:ascii="Arial" w:hAnsi="Arial" w:cs="Arial"/>
          <w:bCs/>
        </w:rPr>
      </w:pPr>
      <w:r>
        <w:rPr>
          <w:rFonts w:ascii="Arial" w:hAnsi="Arial" w:cs="Arial"/>
          <w:bCs/>
        </w:rPr>
        <w:t>Assume that a company is the subject of a complaint regarding 950 calls during January-June 2020.  The fine would be $95,000.</w:t>
      </w:r>
    </w:p>
    <w:p w14:paraId="343F4D3C" w14:textId="77777777" w:rsidR="00B60849" w:rsidRDefault="00B60849" w:rsidP="001A37DF">
      <w:pPr>
        <w:tabs>
          <w:tab w:val="center" w:pos="4680"/>
        </w:tabs>
        <w:rPr>
          <w:rFonts w:ascii="Arial" w:hAnsi="Arial" w:cs="Arial"/>
          <w:bCs/>
        </w:rPr>
      </w:pPr>
    </w:p>
    <w:p w14:paraId="2E542063" w14:textId="77D91B70" w:rsidR="00B60849" w:rsidRDefault="00B60849" w:rsidP="001A37DF">
      <w:pPr>
        <w:tabs>
          <w:tab w:val="center" w:pos="4680"/>
        </w:tabs>
        <w:rPr>
          <w:rFonts w:ascii="Arial" w:hAnsi="Arial" w:cs="Arial"/>
          <w:bCs/>
        </w:rPr>
      </w:pPr>
      <w:r>
        <w:rPr>
          <w:rFonts w:ascii="Arial" w:hAnsi="Arial" w:cs="Arial"/>
          <w:bCs/>
        </w:rPr>
        <w:t xml:space="preserve">Assume that the same company is the subject of a company regarding another 5,000 calls for during July-December 2020.  That is a total of 5,950 violations during the two-year period.  The aggregate fine would be 5,950 times $200 per call or $1,918,000 of which $95,000 had already been collected.  Therefore, the amount due </w:t>
      </w:r>
      <w:r w:rsidR="00BC446D">
        <w:rPr>
          <w:rFonts w:ascii="Arial" w:hAnsi="Arial" w:cs="Arial"/>
          <w:bCs/>
        </w:rPr>
        <w:t>would be $1,823,000.</w:t>
      </w:r>
    </w:p>
    <w:p w14:paraId="5EFE9D82" w14:textId="68ED7956" w:rsidR="00BC446D" w:rsidRDefault="00BC446D" w:rsidP="001A37DF">
      <w:pPr>
        <w:tabs>
          <w:tab w:val="center" w:pos="4680"/>
        </w:tabs>
        <w:rPr>
          <w:rFonts w:ascii="Arial" w:hAnsi="Arial" w:cs="Arial"/>
          <w:bCs/>
        </w:rPr>
      </w:pPr>
    </w:p>
    <w:p w14:paraId="726C1293" w14:textId="4507EF78" w:rsidR="00BC446D" w:rsidRDefault="00BC446D" w:rsidP="00BC446D">
      <w:pPr>
        <w:tabs>
          <w:tab w:val="center" w:pos="4680"/>
        </w:tabs>
        <w:rPr>
          <w:rFonts w:ascii="Arial" w:hAnsi="Arial" w:cs="Arial"/>
          <w:bCs/>
        </w:rPr>
      </w:pPr>
      <w:r>
        <w:rPr>
          <w:rFonts w:ascii="Arial" w:hAnsi="Arial" w:cs="Arial"/>
          <w:bCs/>
        </w:rPr>
        <w:t xml:space="preserve">Assume that the same company is the subject of a company regarding another </w:t>
      </w:r>
      <w:r>
        <w:rPr>
          <w:rFonts w:ascii="Arial" w:hAnsi="Arial" w:cs="Arial"/>
          <w:bCs/>
        </w:rPr>
        <w:t>10</w:t>
      </w:r>
      <w:r>
        <w:rPr>
          <w:rFonts w:ascii="Arial" w:hAnsi="Arial" w:cs="Arial"/>
          <w:bCs/>
        </w:rPr>
        <w:t xml:space="preserve">,000 calls for during </w:t>
      </w:r>
      <w:r>
        <w:rPr>
          <w:rFonts w:ascii="Arial" w:hAnsi="Arial" w:cs="Arial"/>
          <w:bCs/>
        </w:rPr>
        <w:t>January-June 2021</w:t>
      </w:r>
      <w:r>
        <w:rPr>
          <w:rFonts w:ascii="Arial" w:hAnsi="Arial" w:cs="Arial"/>
          <w:bCs/>
        </w:rPr>
        <w:t xml:space="preserve">.  That is a total of 5,950 violations during the two-year period.  The aggregate fine would be </w:t>
      </w:r>
      <w:r>
        <w:rPr>
          <w:rFonts w:ascii="Arial" w:hAnsi="Arial" w:cs="Arial"/>
          <w:bCs/>
        </w:rPr>
        <w:t>1</w:t>
      </w:r>
      <w:r>
        <w:rPr>
          <w:rFonts w:ascii="Arial" w:hAnsi="Arial" w:cs="Arial"/>
          <w:bCs/>
        </w:rPr>
        <w:t>5,950 times $</w:t>
      </w:r>
      <w:r>
        <w:rPr>
          <w:rFonts w:ascii="Arial" w:hAnsi="Arial" w:cs="Arial"/>
          <w:bCs/>
        </w:rPr>
        <w:t>5</w:t>
      </w:r>
      <w:r>
        <w:rPr>
          <w:rFonts w:ascii="Arial" w:hAnsi="Arial" w:cs="Arial"/>
          <w:bCs/>
        </w:rPr>
        <w:t>00 per call or $</w:t>
      </w:r>
      <w:r>
        <w:rPr>
          <w:rFonts w:ascii="Arial" w:hAnsi="Arial" w:cs="Arial"/>
          <w:bCs/>
        </w:rPr>
        <w:t xml:space="preserve">7,975,000 </w:t>
      </w:r>
      <w:r>
        <w:rPr>
          <w:rFonts w:ascii="Arial" w:hAnsi="Arial" w:cs="Arial"/>
          <w:bCs/>
        </w:rPr>
        <w:t>of which $</w:t>
      </w:r>
      <w:r>
        <w:rPr>
          <w:rFonts w:ascii="Arial" w:hAnsi="Arial" w:cs="Arial"/>
          <w:bCs/>
        </w:rPr>
        <w:t>1,823</w:t>
      </w:r>
      <w:r>
        <w:rPr>
          <w:rFonts w:ascii="Arial" w:hAnsi="Arial" w:cs="Arial"/>
          <w:bCs/>
        </w:rPr>
        <w:t>,000 had already been collected.  Therefore, the amount due would be $</w:t>
      </w:r>
      <w:r>
        <w:rPr>
          <w:rFonts w:ascii="Arial" w:hAnsi="Arial" w:cs="Arial"/>
          <w:bCs/>
        </w:rPr>
        <w:t>6,14</w:t>
      </w:r>
      <w:r>
        <w:rPr>
          <w:rFonts w:ascii="Arial" w:hAnsi="Arial" w:cs="Arial"/>
          <w:bCs/>
        </w:rPr>
        <w:t>3,000.</w:t>
      </w:r>
    </w:p>
    <w:p w14:paraId="7954D4C5" w14:textId="77777777" w:rsidR="00BC446D" w:rsidRPr="00ED41EE" w:rsidRDefault="00BC446D" w:rsidP="001A37DF">
      <w:pPr>
        <w:tabs>
          <w:tab w:val="center" w:pos="4680"/>
        </w:tabs>
        <w:rPr>
          <w:rFonts w:ascii="Arial" w:hAnsi="Arial" w:cs="Arial"/>
          <w:bCs/>
        </w:rPr>
      </w:pPr>
    </w:p>
    <w:p w14:paraId="694E8F39" w14:textId="430EFA45" w:rsidR="006D5AA4" w:rsidRDefault="00BC446D" w:rsidP="001A37DF">
      <w:pPr>
        <w:tabs>
          <w:tab w:val="center" w:pos="4680"/>
        </w:tabs>
        <w:rPr>
          <w:rFonts w:ascii="Arial" w:hAnsi="Arial" w:cs="Arial"/>
          <w:bCs/>
        </w:rPr>
      </w:pPr>
      <w:r>
        <w:rPr>
          <w:rFonts w:ascii="Arial" w:hAnsi="Arial" w:cs="Arial"/>
          <w:bCs/>
        </w:rPr>
        <w:t>As you can see, repeat offenders are subject to having the cost of prior violations be revised upward because they establish themselves as scofflaws.</w:t>
      </w:r>
    </w:p>
    <w:p w14:paraId="30A40F58" w14:textId="20ED7A7D" w:rsidR="00BC446D" w:rsidRDefault="00BC446D" w:rsidP="001A37DF">
      <w:pPr>
        <w:tabs>
          <w:tab w:val="center" w:pos="4680"/>
        </w:tabs>
        <w:rPr>
          <w:rFonts w:ascii="Arial" w:hAnsi="Arial" w:cs="Arial"/>
          <w:bCs/>
        </w:rPr>
      </w:pPr>
    </w:p>
    <w:p w14:paraId="5180C6E1" w14:textId="6FEA82D1" w:rsidR="00BC446D" w:rsidRDefault="00BC446D" w:rsidP="001A37DF">
      <w:pPr>
        <w:tabs>
          <w:tab w:val="center" w:pos="4680"/>
        </w:tabs>
        <w:rPr>
          <w:rFonts w:ascii="Arial" w:hAnsi="Arial" w:cs="Arial"/>
          <w:bCs/>
        </w:rPr>
      </w:pPr>
      <w:r>
        <w:rPr>
          <w:rFonts w:ascii="Arial" w:hAnsi="Arial" w:cs="Arial"/>
          <w:bCs/>
        </w:rPr>
        <w:t>A serious offender would be bankrupt by this sort of approach which, in my opinion, is a good result.  People who repeatedly violate the law should be put out of business.</w:t>
      </w:r>
    </w:p>
    <w:p w14:paraId="12A96ED6" w14:textId="090DB23B" w:rsidR="00BC446D" w:rsidRDefault="00BC446D" w:rsidP="001A37DF">
      <w:pPr>
        <w:tabs>
          <w:tab w:val="center" w:pos="4680"/>
        </w:tabs>
        <w:rPr>
          <w:rFonts w:ascii="Arial" w:hAnsi="Arial" w:cs="Arial"/>
          <w:bCs/>
        </w:rPr>
      </w:pPr>
    </w:p>
    <w:p w14:paraId="6D7B3488" w14:textId="2A9B40F7" w:rsidR="00BC446D" w:rsidRDefault="00BC446D" w:rsidP="001A37DF">
      <w:pPr>
        <w:tabs>
          <w:tab w:val="center" w:pos="4680"/>
        </w:tabs>
        <w:rPr>
          <w:rFonts w:ascii="Arial" w:hAnsi="Arial" w:cs="Arial"/>
          <w:bCs/>
        </w:rPr>
      </w:pPr>
    </w:p>
    <w:p w14:paraId="21180B70" w14:textId="0865A260" w:rsidR="00BC446D" w:rsidRPr="00BC446D" w:rsidRDefault="00BC446D" w:rsidP="001A37DF">
      <w:pPr>
        <w:tabs>
          <w:tab w:val="center" w:pos="4680"/>
        </w:tabs>
        <w:rPr>
          <w:rFonts w:ascii="Arial" w:hAnsi="Arial" w:cs="Arial"/>
          <w:b/>
          <w:u w:val="single"/>
        </w:rPr>
      </w:pPr>
      <w:r w:rsidRPr="00BC446D">
        <w:rPr>
          <w:rFonts w:ascii="Arial" w:hAnsi="Arial" w:cs="Arial"/>
          <w:b/>
          <w:u w:val="single"/>
        </w:rPr>
        <w:t>Summary</w:t>
      </w:r>
    </w:p>
    <w:p w14:paraId="3E130149" w14:textId="7A252123" w:rsidR="00BC446D" w:rsidRDefault="00BC446D" w:rsidP="001A37DF">
      <w:pPr>
        <w:tabs>
          <w:tab w:val="center" w:pos="4680"/>
        </w:tabs>
        <w:rPr>
          <w:rFonts w:ascii="Arial" w:hAnsi="Arial" w:cs="Arial"/>
          <w:bCs/>
        </w:rPr>
      </w:pPr>
    </w:p>
    <w:p w14:paraId="7D7530D3" w14:textId="7289B2C1" w:rsidR="00BC446D" w:rsidRDefault="00BC446D" w:rsidP="001A37DF">
      <w:pPr>
        <w:tabs>
          <w:tab w:val="center" w:pos="4680"/>
        </w:tabs>
        <w:rPr>
          <w:rFonts w:ascii="Arial" w:hAnsi="Arial" w:cs="Arial"/>
          <w:bCs/>
        </w:rPr>
      </w:pPr>
      <w:r>
        <w:rPr>
          <w:rFonts w:ascii="Arial" w:hAnsi="Arial" w:cs="Arial"/>
          <w:bCs/>
        </w:rPr>
        <w:t>I am a businessman.  I am pro-business.  I am also pro-privacy.  I see no conflict.</w:t>
      </w:r>
    </w:p>
    <w:p w14:paraId="279B9A24" w14:textId="17750CA8" w:rsidR="00BC446D" w:rsidRDefault="00BC446D" w:rsidP="001A37DF">
      <w:pPr>
        <w:tabs>
          <w:tab w:val="center" w:pos="4680"/>
        </w:tabs>
        <w:rPr>
          <w:rFonts w:ascii="Arial" w:hAnsi="Arial" w:cs="Arial"/>
          <w:bCs/>
        </w:rPr>
      </w:pPr>
    </w:p>
    <w:p w14:paraId="3C054041" w14:textId="3E3A4511" w:rsidR="00BC446D" w:rsidRDefault="00BC446D" w:rsidP="001A37DF">
      <w:pPr>
        <w:tabs>
          <w:tab w:val="center" w:pos="4680"/>
        </w:tabs>
        <w:rPr>
          <w:rFonts w:ascii="Arial" w:hAnsi="Arial" w:cs="Arial"/>
          <w:bCs/>
        </w:rPr>
      </w:pPr>
      <w:r>
        <w:rPr>
          <w:rFonts w:ascii="Arial" w:hAnsi="Arial" w:cs="Arial"/>
          <w:bCs/>
        </w:rPr>
        <w:t xml:space="preserve">If the Commission </w:t>
      </w:r>
      <w:r w:rsidR="00DD3021">
        <w:rPr>
          <w:rFonts w:ascii="Arial" w:hAnsi="Arial" w:cs="Arial"/>
          <w:bCs/>
        </w:rPr>
        <w:t>intends</w:t>
      </w:r>
      <w:r>
        <w:rPr>
          <w:rFonts w:ascii="Arial" w:hAnsi="Arial" w:cs="Arial"/>
          <w:bCs/>
        </w:rPr>
        <w:t xml:space="preserve"> to dramatically end violation of robocalling regulations and enforce TCPA, it needs to take bold action to compel decision makers whose businesses are currently ignoring the law to become compliant.</w:t>
      </w:r>
    </w:p>
    <w:p w14:paraId="705BF302" w14:textId="128680D3" w:rsidR="00BC446D" w:rsidRDefault="00BC446D" w:rsidP="001A37DF">
      <w:pPr>
        <w:tabs>
          <w:tab w:val="center" w:pos="4680"/>
        </w:tabs>
        <w:rPr>
          <w:rFonts w:ascii="Arial" w:hAnsi="Arial" w:cs="Arial"/>
          <w:bCs/>
        </w:rPr>
      </w:pPr>
    </w:p>
    <w:p w14:paraId="4D08E41C" w14:textId="28CBF5E9" w:rsidR="00BC446D" w:rsidRDefault="00BC446D" w:rsidP="001A37DF">
      <w:pPr>
        <w:tabs>
          <w:tab w:val="center" w:pos="4680"/>
        </w:tabs>
        <w:rPr>
          <w:rFonts w:ascii="Arial" w:hAnsi="Arial" w:cs="Arial"/>
          <w:bCs/>
        </w:rPr>
      </w:pPr>
      <w:r>
        <w:rPr>
          <w:rFonts w:ascii="Arial" w:hAnsi="Arial" w:cs="Arial"/>
          <w:bCs/>
        </w:rPr>
        <w:t xml:space="preserve">If these businesses are not viable if they must operate within the law, then they </w:t>
      </w:r>
      <w:r>
        <w:rPr>
          <w:rFonts w:ascii="Arial" w:hAnsi="Arial" w:cs="Arial"/>
          <w:bCs/>
          <w:u w:val="single"/>
        </w:rPr>
        <w:t>should</w:t>
      </w:r>
      <w:r>
        <w:rPr>
          <w:rFonts w:ascii="Arial" w:hAnsi="Arial" w:cs="Arial"/>
          <w:bCs/>
        </w:rPr>
        <w:t xml:space="preserve"> go out of business either by (1) being unable to continue to operate outside the law or (2) by being fined out of existence.  </w:t>
      </w:r>
    </w:p>
    <w:p w14:paraId="33A5A2F1" w14:textId="7468D356" w:rsidR="00BC446D" w:rsidRDefault="00BC446D" w:rsidP="001A37DF">
      <w:pPr>
        <w:tabs>
          <w:tab w:val="center" w:pos="4680"/>
        </w:tabs>
        <w:rPr>
          <w:rFonts w:ascii="Arial" w:hAnsi="Arial" w:cs="Arial"/>
          <w:bCs/>
        </w:rPr>
      </w:pPr>
    </w:p>
    <w:p w14:paraId="748077A2" w14:textId="64C79455" w:rsidR="00BC446D" w:rsidRDefault="00BC446D" w:rsidP="001A37DF">
      <w:pPr>
        <w:tabs>
          <w:tab w:val="center" w:pos="4680"/>
        </w:tabs>
        <w:rPr>
          <w:rFonts w:ascii="Arial" w:hAnsi="Arial" w:cs="Arial"/>
          <w:bCs/>
        </w:rPr>
      </w:pPr>
      <w:r>
        <w:rPr>
          <w:rFonts w:ascii="Arial" w:hAnsi="Arial" w:cs="Arial"/>
          <w:bCs/>
        </w:rPr>
        <w:t xml:space="preserve">Furthermore, the management of companies violating the law will create a huge </w:t>
      </w:r>
      <w:r>
        <w:rPr>
          <w:rFonts w:ascii="Arial" w:hAnsi="Arial" w:cs="Arial"/>
          <w:bCs/>
          <w:u w:val="single"/>
        </w:rPr>
        <w:t>personal liability</w:t>
      </w:r>
      <w:r>
        <w:rPr>
          <w:rFonts w:ascii="Arial" w:hAnsi="Arial" w:cs="Arial"/>
          <w:bCs/>
        </w:rPr>
        <w:t xml:space="preserve"> if they bankrupt their company.  Surely their shareholders will sue them </w:t>
      </w:r>
      <w:r>
        <w:rPr>
          <w:rFonts w:ascii="Arial" w:hAnsi="Arial" w:cs="Arial"/>
          <w:bCs/>
        </w:rPr>
        <w:lastRenderedPageBreak/>
        <w:t>if they behave outside the law.</w:t>
      </w:r>
    </w:p>
    <w:p w14:paraId="57927671" w14:textId="28D6A6AB" w:rsidR="00BC446D" w:rsidRDefault="00BC446D" w:rsidP="001A37DF">
      <w:pPr>
        <w:tabs>
          <w:tab w:val="center" w:pos="4680"/>
        </w:tabs>
        <w:rPr>
          <w:rFonts w:ascii="Arial" w:hAnsi="Arial" w:cs="Arial"/>
          <w:bCs/>
        </w:rPr>
      </w:pPr>
    </w:p>
    <w:p w14:paraId="4DC4AAE3" w14:textId="162CB29A" w:rsidR="00BC446D" w:rsidRDefault="00BC446D" w:rsidP="001A37DF">
      <w:pPr>
        <w:tabs>
          <w:tab w:val="center" w:pos="4680"/>
        </w:tabs>
        <w:rPr>
          <w:rFonts w:ascii="Arial" w:hAnsi="Arial" w:cs="Arial"/>
          <w:bCs/>
        </w:rPr>
      </w:pPr>
      <w:r>
        <w:rPr>
          <w:rFonts w:ascii="Arial" w:hAnsi="Arial" w:cs="Arial"/>
          <w:bCs/>
        </w:rPr>
        <w:t xml:space="preserve">For </w:t>
      </w:r>
      <w:r w:rsidR="00DD3021">
        <w:rPr>
          <w:rFonts w:ascii="Arial" w:hAnsi="Arial" w:cs="Arial"/>
          <w:bCs/>
        </w:rPr>
        <w:t>all</w:t>
      </w:r>
      <w:r>
        <w:rPr>
          <w:rFonts w:ascii="Arial" w:hAnsi="Arial" w:cs="Arial"/>
          <w:bCs/>
        </w:rPr>
        <w:t xml:space="preserve"> </w:t>
      </w:r>
      <w:bookmarkStart w:id="0" w:name="_GoBack"/>
      <w:bookmarkEnd w:id="0"/>
      <w:r>
        <w:rPr>
          <w:rFonts w:ascii="Arial" w:hAnsi="Arial" w:cs="Arial"/>
          <w:bCs/>
        </w:rPr>
        <w:t>these reasons, I encourage you to:</w:t>
      </w:r>
    </w:p>
    <w:p w14:paraId="59A3F835" w14:textId="0275F096" w:rsidR="00BC446D" w:rsidRDefault="00BC446D" w:rsidP="001A37DF">
      <w:pPr>
        <w:tabs>
          <w:tab w:val="center" w:pos="4680"/>
        </w:tabs>
        <w:rPr>
          <w:rFonts w:ascii="Arial" w:hAnsi="Arial" w:cs="Arial"/>
          <w:bCs/>
        </w:rPr>
      </w:pPr>
    </w:p>
    <w:p w14:paraId="019B4A1E" w14:textId="70910FE5" w:rsidR="00BC446D" w:rsidRDefault="00BC446D" w:rsidP="00BC446D">
      <w:pPr>
        <w:pStyle w:val="ListParagraph"/>
        <w:numPr>
          <w:ilvl w:val="0"/>
          <w:numId w:val="26"/>
        </w:numPr>
        <w:tabs>
          <w:tab w:val="center" w:pos="4680"/>
        </w:tabs>
        <w:rPr>
          <w:rFonts w:ascii="Arial" w:hAnsi="Arial" w:cs="Arial"/>
          <w:bCs/>
        </w:rPr>
      </w:pPr>
      <w:r>
        <w:rPr>
          <w:rFonts w:ascii="Arial" w:hAnsi="Arial" w:cs="Arial"/>
          <w:bCs/>
        </w:rPr>
        <w:t xml:space="preserve">Create hard deadlines for </w:t>
      </w:r>
      <w:r>
        <w:rPr>
          <w:rFonts w:ascii="Arial" w:hAnsi="Arial" w:cs="Arial"/>
          <w:bCs/>
          <w:u w:val="single"/>
        </w:rPr>
        <w:t>all</w:t>
      </w:r>
      <w:r>
        <w:rPr>
          <w:rFonts w:ascii="Arial" w:hAnsi="Arial" w:cs="Arial"/>
          <w:bCs/>
        </w:rPr>
        <w:t xml:space="preserve"> originators to provide positive called ID data for all calls originated by their network</w:t>
      </w:r>
      <w:r w:rsidR="00DD3021">
        <w:rPr>
          <w:rFonts w:ascii="Arial" w:hAnsi="Arial" w:cs="Arial"/>
          <w:bCs/>
        </w:rPr>
        <w:t xml:space="preserve"> and adopt significant fines for failure to comply with that deadline.  If a later deadline is required for smaller providers, so be it.  There needs to be 100% compliance by all network users.</w:t>
      </w:r>
    </w:p>
    <w:p w14:paraId="081BC0F4" w14:textId="656B4CF3" w:rsidR="00DD3021" w:rsidRDefault="00DD3021" w:rsidP="00BC446D">
      <w:pPr>
        <w:pStyle w:val="ListParagraph"/>
        <w:numPr>
          <w:ilvl w:val="0"/>
          <w:numId w:val="26"/>
        </w:numPr>
        <w:tabs>
          <w:tab w:val="center" w:pos="4680"/>
        </w:tabs>
        <w:rPr>
          <w:rFonts w:ascii="Arial" w:hAnsi="Arial" w:cs="Arial"/>
          <w:bCs/>
        </w:rPr>
      </w:pPr>
      <w:r>
        <w:rPr>
          <w:rFonts w:ascii="Arial" w:hAnsi="Arial" w:cs="Arial"/>
          <w:bCs/>
        </w:rPr>
        <w:t>Assure that VOIP-originated and offshore calls either have positive caller ID or arrive showing that the source is “Offshore” or “Internet.”  This gives those receiving the calls fair warning.</w:t>
      </w:r>
    </w:p>
    <w:p w14:paraId="60740474" w14:textId="24118C1A" w:rsidR="00DD3021" w:rsidRDefault="00DD3021" w:rsidP="00BC446D">
      <w:pPr>
        <w:pStyle w:val="ListParagraph"/>
        <w:numPr>
          <w:ilvl w:val="0"/>
          <w:numId w:val="26"/>
        </w:numPr>
        <w:tabs>
          <w:tab w:val="center" w:pos="4680"/>
        </w:tabs>
        <w:rPr>
          <w:rFonts w:ascii="Arial" w:hAnsi="Arial" w:cs="Arial"/>
          <w:bCs/>
        </w:rPr>
      </w:pPr>
      <w:r>
        <w:rPr>
          <w:rFonts w:ascii="Arial" w:hAnsi="Arial" w:cs="Arial"/>
          <w:bCs/>
        </w:rPr>
        <w:t>Adopt a consumer-based, automated complaint and default fine system (like the one described above or serving the same purpose) which will provide consumers with the ability to penalize those who violate the law and has severe, adverse financial effects of violators.</w:t>
      </w:r>
    </w:p>
    <w:p w14:paraId="50389105" w14:textId="7A57AD36" w:rsidR="00DD3021" w:rsidRDefault="00DD3021" w:rsidP="00DD3021">
      <w:pPr>
        <w:tabs>
          <w:tab w:val="center" w:pos="4680"/>
        </w:tabs>
        <w:rPr>
          <w:rFonts w:ascii="Arial" w:hAnsi="Arial" w:cs="Arial"/>
          <w:bCs/>
        </w:rPr>
      </w:pPr>
    </w:p>
    <w:p w14:paraId="109CE6EF" w14:textId="77777777" w:rsidR="00DD3021" w:rsidRPr="00DD3021" w:rsidRDefault="00DD3021" w:rsidP="00DD3021">
      <w:pPr>
        <w:tabs>
          <w:tab w:val="center" w:pos="4680"/>
        </w:tabs>
        <w:rPr>
          <w:rFonts w:ascii="Arial" w:hAnsi="Arial" w:cs="Arial"/>
          <w:bCs/>
        </w:rPr>
      </w:pPr>
    </w:p>
    <w:p w14:paraId="05D9620A" w14:textId="77777777" w:rsidR="00AA0E2E" w:rsidRDefault="00CF1E0D" w:rsidP="001A37DF">
      <w:pPr>
        <w:tabs>
          <w:tab w:val="center" w:pos="4680"/>
        </w:tabs>
        <w:rPr>
          <w:rFonts w:ascii="Arial" w:hAnsi="Arial" w:cs="Arial"/>
          <w:bCs/>
        </w:rPr>
      </w:pPr>
      <w:r>
        <w:rPr>
          <w:rFonts w:ascii="Arial" w:hAnsi="Arial" w:cs="Arial"/>
          <w:bCs/>
        </w:rPr>
        <w:t>Very truly yours,</w:t>
      </w:r>
    </w:p>
    <w:p w14:paraId="7F92D56C" w14:textId="77777777" w:rsidR="00CF1E0D" w:rsidRDefault="00CF1E0D" w:rsidP="001A37DF">
      <w:pPr>
        <w:tabs>
          <w:tab w:val="center" w:pos="4680"/>
        </w:tabs>
        <w:rPr>
          <w:rFonts w:ascii="Arial" w:hAnsi="Arial" w:cs="Arial"/>
          <w:bCs/>
        </w:rPr>
      </w:pPr>
    </w:p>
    <w:p w14:paraId="3F128E7D" w14:textId="293AF210" w:rsidR="00CF1E0D" w:rsidRDefault="00DD3021" w:rsidP="001A37DF">
      <w:pPr>
        <w:tabs>
          <w:tab w:val="center" w:pos="4680"/>
        </w:tabs>
        <w:rPr>
          <w:rFonts w:ascii="Arial" w:hAnsi="Arial" w:cs="Arial"/>
          <w:bCs/>
        </w:rPr>
      </w:pPr>
      <w:r>
        <w:rPr>
          <w:rFonts w:ascii="Arial" w:hAnsi="Arial" w:cs="Arial"/>
          <w:bCs/>
          <w:noProof/>
        </w:rPr>
        <w:drawing>
          <wp:inline distT="0" distB="0" distL="0" distR="0" wp14:anchorId="55650EFA" wp14:editId="3EE71DEB">
            <wp:extent cx="2670223" cy="722423"/>
            <wp:effectExtent l="0" t="0" r="0" b="190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 Signature.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70223" cy="722423"/>
                    </a:xfrm>
                    <a:prstGeom prst="rect">
                      <a:avLst/>
                    </a:prstGeom>
                  </pic:spPr>
                </pic:pic>
              </a:graphicData>
            </a:graphic>
          </wp:inline>
        </w:drawing>
      </w:r>
    </w:p>
    <w:p w14:paraId="45F12DCC" w14:textId="77777777" w:rsidR="00CF1E0D" w:rsidRDefault="00CF1E0D" w:rsidP="001A37DF">
      <w:pPr>
        <w:tabs>
          <w:tab w:val="center" w:pos="4680"/>
        </w:tabs>
        <w:rPr>
          <w:rFonts w:ascii="Arial" w:hAnsi="Arial" w:cs="Arial"/>
          <w:bCs/>
        </w:rPr>
      </w:pPr>
    </w:p>
    <w:p w14:paraId="5076C386" w14:textId="77777777" w:rsidR="00CF1E0D" w:rsidRPr="008A0C00" w:rsidRDefault="00933522" w:rsidP="001A37DF">
      <w:pPr>
        <w:tabs>
          <w:tab w:val="center" w:pos="4680"/>
        </w:tabs>
        <w:rPr>
          <w:rFonts w:ascii="Arial" w:hAnsi="Arial" w:cs="Arial"/>
          <w:bCs/>
        </w:rPr>
      </w:pPr>
      <w:r>
        <w:rPr>
          <w:rFonts w:ascii="Arial" w:hAnsi="Arial" w:cs="Arial"/>
          <w:bCs/>
        </w:rPr>
        <w:t>Steven I. Givot</w:t>
      </w:r>
      <w:r w:rsidR="00417DB4">
        <w:rPr>
          <w:rFonts w:ascii="Arial" w:hAnsi="Arial" w:cs="Arial"/>
          <w:bCs/>
        </w:rPr>
        <w:br/>
      </w:r>
    </w:p>
    <w:sectPr w:rsidR="00CF1E0D" w:rsidRPr="008A0C00" w:rsidSect="00F42400">
      <w:pgSz w:w="12240" w:h="15840" w:code="1"/>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EB823" w14:textId="77777777" w:rsidR="00A06557" w:rsidRDefault="00A06557">
      <w:r>
        <w:separator/>
      </w:r>
    </w:p>
  </w:endnote>
  <w:endnote w:type="continuationSeparator" w:id="0">
    <w:p w14:paraId="5661FB9B" w14:textId="77777777" w:rsidR="00A06557" w:rsidRDefault="00A0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pperplate Light SSi">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129D0" w14:textId="77777777" w:rsidR="00A06557" w:rsidRDefault="00A06557">
      <w:r>
        <w:separator/>
      </w:r>
    </w:p>
  </w:footnote>
  <w:footnote w:type="continuationSeparator" w:id="0">
    <w:p w14:paraId="597AED4B" w14:textId="77777777" w:rsidR="00A06557" w:rsidRDefault="00A06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16D"/>
    <w:multiLevelType w:val="hybridMultilevel"/>
    <w:tmpl w:val="B198B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A0FCC"/>
    <w:multiLevelType w:val="hybridMultilevel"/>
    <w:tmpl w:val="932ED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27064A"/>
    <w:multiLevelType w:val="hybridMultilevel"/>
    <w:tmpl w:val="9C1EAE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B2D92"/>
    <w:multiLevelType w:val="hybridMultilevel"/>
    <w:tmpl w:val="512EC5E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4" w15:restartNumberingAfterBreak="0">
    <w:nsid w:val="1A3B0F35"/>
    <w:multiLevelType w:val="hybridMultilevel"/>
    <w:tmpl w:val="3558F7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C9463A"/>
    <w:multiLevelType w:val="hybridMultilevel"/>
    <w:tmpl w:val="A330D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B07BA"/>
    <w:multiLevelType w:val="hybridMultilevel"/>
    <w:tmpl w:val="3D0A08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405B08"/>
    <w:multiLevelType w:val="hybridMultilevel"/>
    <w:tmpl w:val="0A76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F81096"/>
    <w:multiLevelType w:val="hybridMultilevel"/>
    <w:tmpl w:val="DBF04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3E5930"/>
    <w:multiLevelType w:val="hybridMultilevel"/>
    <w:tmpl w:val="852C7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3420A2"/>
    <w:multiLevelType w:val="hybridMultilevel"/>
    <w:tmpl w:val="22046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CB08C4"/>
    <w:multiLevelType w:val="hybridMultilevel"/>
    <w:tmpl w:val="7DA82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C759B1"/>
    <w:multiLevelType w:val="hybridMultilevel"/>
    <w:tmpl w:val="4490B9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593246"/>
    <w:multiLevelType w:val="hybridMultilevel"/>
    <w:tmpl w:val="A4027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E44CCC"/>
    <w:multiLevelType w:val="hybridMultilevel"/>
    <w:tmpl w:val="CCEAA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C9755E"/>
    <w:multiLevelType w:val="hybridMultilevel"/>
    <w:tmpl w:val="81620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A67F17"/>
    <w:multiLevelType w:val="hybridMultilevel"/>
    <w:tmpl w:val="E8F6B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A868DD"/>
    <w:multiLevelType w:val="hybridMultilevel"/>
    <w:tmpl w:val="87F67AC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E537CB"/>
    <w:multiLevelType w:val="hybridMultilevel"/>
    <w:tmpl w:val="C8A614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8A709F"/>
    <w:multiLevelType w:val="hybridMultilevel"/>
    <w:tmpl w:val="AAA27D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4055DC9"/>
    <w:multiLevelType w:val="hybridMultilevel"/>
    <w:tmpl w:val="D6C6FF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37305B"/>
    <w:multiLevelType w:val="hybridMultilevel"/>
    <w:tmpl w:val="C026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4470F3"/>
    <w:multiLevelType w:val="hybridMultilevel"/>
    <w:tmpl w:val="F6EEC5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D786529"/>
    <w:multiLevelType w:val="hybridMultilevel"/>
    <w:tmpl w:val="34A89C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20769F"/>
    <w:multiLevelType w:val="hybridMultilevel"/>
    <w:tmpl w:val="E716B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47B61"/>
    <w:multiLevelType w:val="hybridMultilevel"/>
    <w:tmpl w:val="FBBAB8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5"/>
  </w:num>
  <w:num w:numId="3">
    <w:abstractNumId w:val="17"/>
  </w:num>
  <w:num w:numId="4">
    <w:abstractNumId w:val="3"/>
  </w:num>
  <w:num w:numId="5">
    <w:abstractNumId w:val="7"/>
  </w:num>
  <w:num w:numId="6">
    <w:abstractNumId w:val="9"/>
  </w:num>
  <w:num w:numId="7">
    <w:abstractNumId w:val="4"/>
  </w:num>
  <w:num w:numId="8">
    <w:abstractNumId w:val="10"/>
  </w:num>
  <w:num w:numId="9">
    <w:abstractNumId w:val="20"/>
  </w:num>
  <w:num w:numId="10">
    <w:abstractNumId w:val="5"/>
  </w:num>
  <w:num w:numId="11">
    <w:abstractNumId w:val="18"/>
  </w:num>
  <w:num w:numId="12">
    <w:abstractNumId w:val="12"/>
  </w:num>
  <w:num w:numId="13">
    <w:abstractNumId w:val="6"/>
  </w:num>
  <w:num w:numId="14">
    <w:abstractNumId w:val="22"/>
  </w:num>
  <w:num w:numId="15">
    <w:abstractNumId w:val="16"/>
  </w:num>
  <w:num w:numId="16">
    <w:abstractNumId w:val="0"/>
  </w:num>
  <w:num w:numId="17">
    <w:abstractNumId w:val="23"/>
  </w:num>
  <w:num w:numId="18">
    <w:abstractNumId w:val="8"/>
  </w:num>
  <w:num w:numId="19">
    <w:abstractNumId w:val="2"/>
  </w:num>
  <w:num w:numId="20">
    <w:abstractNumId w:val="11"/>
  </w:num>
  <w:num w:numId="21">
    <w:abstractNumId w:val="15"/>
  </w:num>
  <w:num w:numId="22">
    <w:abstractNumId w:val="24"/>
  </w:num>
  <w:num w:numId="23">
    <w:abstractNumId w:val="14"/>
  </w:num>
  <w:num w:numId="24">
    <w:abstractNumId w:val="1"/>
  </w:num>
  <w:num w:numId="25">
    <w:abstractNumId w:val="1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749"/>
    <w:rsid w:val="00003A6D"/>
    <w:rsid w:val="00006636"/>
    <w:rsid w:val="00007581"/>
    <w:rsid w:val="000203C8"/>
    <w:rsid w:val="000419EC"/>
    <w:rsid w:val="00041EC8"/>
    <w:rsid w:val="000469EE"/>
    <w:rsid w:val="00051575"/>
    <w:rsid w:val="00063AC6"/>
    <w:rsid w:val="00065248"/>
    <w:rsid w:val="0008494F"/>
    <w:rsid w:val="000950FA"/>
    <w:rsid w:val="000978E9"/>
    <w:rsid w:val="000F3BC1"/>
    <w:rsid w:val="000F5116"/>
    <w:rsid w:val="00100492"/>
    <w:rsid w:val="00113791"/>
    <w:rsid w:val="00132B09"/>
    <w:rsid w:val="001562A6"/>
    <w:rsid w:val="0016031E"/>
    <w:rsid w:val="00160FF0"/>
    <w:rsid w:val="001731F7"/>
    <w:rsid w:val="0017556A"/>
    <w:rsid w:val="00180454"/>
    <w:rsid w:val="001A15F4"/>
    <w:rsid w:val="001A2CA1"/>
    <w:rsid w:val="001A37DF"/>
    <w:rsid w:val="001B6182"/>
    <w:rsid w:val="001B73E5"/>
    <w:rsid w:val="00201596"/>
    <w:rsid w:val="00207DF9"/>
    <w:rsid w:val="00224BB1"/>
    <w:rsid w:val="00226034"/>
    <w:rsid w:val="002314B8"/>
    <w:rsid w:val="002B1C32"/>
    <w:rsid w:val="002E716C"/>
    <w:rsid w:val="00300DCD"/>
    <w:rsid w:val="003400AE"/>
    <w:rsid w:val="003510EF"/>
    <w:rsid w:val="00361A8F"/>
    <w:rsid w:val="003941C3"/>
    <w:rsid w:val="003A1A40"/>
    <w:rsid w:val="003A215B"/>
    <w:rsid w:val="003C0B42"/>
    <w:rsid w:val="003C5DD1"/>
    <w:rsid w:val="003D5062"/>
    <w:rsid w:val="003F2F6D"/>
    <w:rsid w:val="0040584A"/>
    <w:rsid w:val="00417DB4"/>
    <w:rsid w:val="00425E98"/>
    <w:rsid w:val="004465E5"/>
    <w:rsid w:val="00466F04"/>
    <w:rsid w:val="00492317"/>
    <w:rsid w:val="004A3089"/>
    <w:rsid w:val="004D216A"/>
    <w:rsid w:val="004D3257"/>
    <w:rsid w:val="004E6985"/>
    <w:rsid w:val="004F518C"/>
    <w:rsid w:val="005154AA"/>
    <w:rsid w:val="0052283C"/>
    <w:rsid w:val="00564B5E"/>
    <w:rsid w:val="005660F7"/>
    <w:rsid w:val="005F0630"/>
    <w:rsid w:val="00610535"/>
    <w:rsid w:val="00636A8C"/>
    <w:rsid w:val="0068059E"/>
    <w:rsid w:val="0069789D"/>
    <w:rsid w:val="006A2803"/>
    <w:rsid w:val="006B0BB5"/>
    <w:rsid w:val="006C41E6"/>
    <w:rsid w:val="006D3094"/>
    <w:rsid w:val="006D4CC0"/>
    <w:rsid w:val="006D5AA4"/>
    <w:rsid w:val="006F5255"/>
    <w:rsid w:val="007602F7"/>
    <w:rsid w:val="00780468"/>
    <w:rsid w:val="007A1E5D"/>
    <w:rsid w:val="007B7AEB"/>
    <w:rsid w:val="007E2ECA"/>
    <w:rsid w:val="00865557"/>
    <w:rsid w:val="008718BF"/>
    <w:rsid w:val="008768EC"/>
    <w:rsid w:val="00883C9A"/>
    <w:rsid w:val="008A0C00"/>
    <w:rsid w:val="008B59EC"/>
    <w:rsid w:val="008D4470"/>
    <w:rsid w:val="008D577E"/>
    <w:rsid w:val="008F2044"/>
    <w:rsid w:val="00902EE1"/>
    <w:rsid w:val="009037DE"/>
    <w:rsid w:val="00933522"/>
    <w:rsid w:val="00934644"/>
    <w:rsid w:val="00935004"/>
    <w:rsid w:val="009402AE"/>
    <w:rsid w:val="00972ED5"/>
    <w:rsid w:val="009751D6"/>
    <w:rsid w:val="0097561A"/>
    <w:rsid w:val="009801D3"/>
    <w:rsid w:val="00985040"/>
    <w:rsid w:val="009D484F"/>
    <w:rsid w:val="00A019E5"/>
    <w:rsid w:val="00A06557"/>
    <w:rsid w:val="00A06922"/>
    <w:rsid w:val="00A13D5D"/>
    <w:rsid w:val="00A252AF"/>
    <w:rsid w:val="00A42A16"/>
    <w:rsid w:val="00A43EF3"/>
    <w:rsid w:val="00A669BE"/>
    <w:rsid w:val="00AA0E2E"/>
    <w:rsid w:val="00AA5F35"/>
    <w:rsid w:val="00AB1749"/>
    <w:rsid w:val="00AE6FF6"/>
    <w:rsid w:val="00AF7E04"/>
    <w:rsid w:val="00B23435"/>
    <w:rsid w:val="00B24D8B"/>
    <w:rsid w:val="00B44C62"/>
    <w:rsid w:val="00B51621"/>
    <w:rsid w:val="00B60849"/>
    <w:rsid w:val="00B664C8"/>
    <w:rsid w:val="00B730A6"/>
    <w:rsid w:val="00B929CE"/>
    <w:rsid w:val="00BA76EB"/>
    <w:rsid w:val="00BB1558"/>
    <w:rsid w:val="00BB6BD6"/>
    <w:rsid w:val="00BC0C0B"/>
    <w:rsid w:val="00BC3ABD"/>
    <w:rsid w:val="00BC446D"/>
    <w:rsid w:val="00BE4F62"/>
    <w:rsid w:val="00C01067"/>
    <w:rsid w:val="00C049ED"/>
    <w:rsid w:val="00C07502"/>
    <w:rsid w:val="00C90EAC"/>
    <w:rsid w:val="00CA660C"/>
    <w:rsid w:val="00CB208D"/>
    <w:rsid w:val="00CB3C78"/>
    <w:rsid w:val="00CD180A"/>
    <w:rsid w:val="00CF1E0D"/>
    <w:rsid w:val="00D152CE"/>
    <w:rsid w:val="00D5381B"/>
    <w:rsid w:val="00D62B52"/>
    <w:rsid w:val="00D636A9"/>
    <w:rsid w:val="00DD3021"/>
    <w:rsid w:val="00E015F9"/>
    <w:rsid w:val="00E23BEE"/>
    <w:rsid w:val="00E249F7"/>
    <w:rsid w:val="00E3295D"/>
    <w:rsid w:val="00E81C84"/>
    <w:rsid w:val="00E91B2F"/>
    <w:rsid w:val="00EA0003"/>
    <w:rsid w:val="00EA0DFE"/>
    <w:rsid w:val="00EB6D00"/>
    <w:rsid w:val="00EB7A63"/>
    <w:rsid w:val="00ED41EE"/>
    <w:rsid w:val="00F037B8"/>
    <w:rsid w:val="00F20B83"/>
    <w:rsid w:val="00F42400"/>
    <w:rsid w:val="00F70A57"/>
    <w:rsid w:val="00F932F6"/>
    <w:rsid w:val="00FA503C"/>
    <w:rsid w:val="00FB354C"/>
    <w:rsid w:val="00FD3081"/>
    <w:rsid w:val="00FD44CF"/>
    <w:rsid w:val="00FF3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ADED2D6"/>
  <w15:chartTrackingRefBased/>
  <w15:docId w15:val="{06EF0469-DABA-48A4-A3D3-0D8D21CDD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F42400"/>
    <w:pPr>
      <w:tabs>
        <w:tab w:val="center" w:pos="4320"/>
        <w:tab w:val="right" w:pos="8640"/>
      </w:tabs>
    </w:pPr>
  </w:style>
  <w:style w:type="paragraph" w:styleId="Footer">
    <w:name w:val="footer"/>
    <w:basedOn w:val="Normal"/>
    <w:rsid w:val="00F42400"/>
    <w:pPr>
      <w:tabs>
        <w:tab w:val="center" w:pos="4320"/>
        <w:tab w:val="right" w:pos="8640"/>
      </w:tabs>
    </w:pPr>
  </w:style>
  <w:style w:type="paragraph" w:styleId="FootnoteText">
    <w:name w:val="footnote text"/>
    <w:basedOn w:val="Normal"/>
    <w:semiHidden/>
    <w:rsid w:val="00226034"/>
    <w:rPr>
      <w:sz w:val="20"/>
      <w:szCs w:val="20"/>
    </w:rPr>
  </w:style>
  <w:style w:type="character" w:styleId="Hyperlink">
    <w:name w:val="Hyperlink"/>
    <w:rsid w:val="00417DB4"/>
    <w:rPr>
      <w:color w:val="0000FF"/>
      <w:u w:val="single"/>
    </w:rPr>
  </w:style>
  <w:style w:type="paragraph" w:styleId="HTMLPreformatted">
    <w:name w:val="HTML Preformatted"/>
    <w:basedOn w:val="Normal"/>
    <w:rsid w:val="00417D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BalloonText">
    <w:name w:val="Balloon Text"/>
    <w:basedOn w:val="Normal"/>
    <w:link w:val="BalloonTextChar"/>
    <w:uiPriority w:val="99"/>
    <w:semiHidden/>
    <w:unhideWhenUsed/>
    <w:rsid w:val="004465E5"/>
    <w:rPr>
      <w:rFonts w:ascii="Segoe UI" w:hAnsi="Segoe UI" w:cs="Segoe UI"/>
      <w:sz w:val="18"/>
      <w:szCs w:val="18"/>
    </w:rPr>
  </w:style>
  <w:style w:type="character" w:customStyle="1" w:styleId="BalloonTextChar">
    <w:name w:val="Balloon Text Char"/>
    <w:link w:val="BalloonText"/>
    <w:uiPriority w:val="99"/>
    <w:semiHidden/>
    <w:rsid w:val="004465E5"/>
    <w:rPr>
      <w:rFonts w:ascii="Segoe UI" w:hAnsi="Segoe UI" w:cs="Segoe UI"/>
      <w:sz w:val="18"/>
      <w:szCs w:val="18"/>
    </w:rPr>
  </w:style>
  <w:style w:type="table" w:customStyle="1" w:styleId="TableGrid">
    <w:name w:val="TableGrid"/>
    <w:rsid w:val="006D5AA4"/>
    <w:rPr>
      <w:rFonts w:ascii="Calibri" w:hAnsi="Calibri"/>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6D5AA4"/>
    <w:pPr>
      <w:ind w:left="720"/>
    </w:pPr>
  </w:style>
  <w:style w:type="table" w:styleId="TableGrid0">
    <w:name w:val="Table Grid"/>
    <w:basedOn w:val="TableNormal"/>
    <w:uiPriority w:val="39"/>
    <w:rsid w:val="00B6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71674">
      <w:bodyDiv w:val="1"/>
      <w:marLeft w:val="0"/>
      <w:marRight w:val="0"/>
      <w:marTop w:val="0"/>
      <w:marBottom w:val="0"/>
      <w:divBdr>
        <w:top w:val="none" w:sz="0" w:space="0" w:color="auto"/>
        <w:left w:val="none" w:sz="0" w:space="0" w:color="auto"/>
        <w:bottom w:val="none" w:sz="0" w:space="0" w:color="auto"/>
        <w:right w:val="none" w:sz="0" w:space="0" w:color="auto"/>
      </w:divBdr>
    </w:div>
    <w:div w:id="1747147254">
      <w:bodyDiv w:val="1"/>
      <w:marLeft w:val="0"/>
      <w:marRight w:val="0"/>
      <w:marTop w:val="0"/>
      <w:marBottom w:val="0"/>
      <w:divBdr>
        <w:top w:val="none" w:sz="0" w:space="0" w:color="auto"/>
        <w:left w:val="none" w:sz="0" w:space="0" w:color="auto"/>
        <w:bottom w:val="none" w:sz="0" w:space="0" w:color="auto"/>
        <w:right w:val="none" w:sz="0" w:space="0" w:color="auto"/>
      </w:divBdr>
      <w:divsChild>
        <w:div w:id="917398654">
          <w:marLeft w:val="0"/>
          <w:marRight w:val="0"/>
          <w:marTop w:val="0"/>
          <w:marBottom w:val="0"/>
          <w:divBdr>
            <w:top w:val="none" w:sz="0" w:space="0" w:color="auto"/>
            <w:left w:val="none" w:sz="0" w:space="0" w:color="auto"/>
            <w:bottom w:val="none" w:sz="0" w:space="0" w:color="auto"/>
            <w:right w:val="none" w:sz="0" w:space="0" w:color="auto"/>
          </w:divBdr>
          <w:divsChild>
            <w:div w:id="1464537928">
              <w:marLeft w:val="0"/>
              <w:marRight w:val="0"/>
              <w:marTop w:val="0"/>
              <w:marBottom w:val="0"/>
              <w:divBdr>
                <w:top w:val="single" w:sz="6" w:space="12" w:color="auto"/>
                <w:left w:val="single" w:sz="6" w:space="12" w:color="auto"/>
                <w:bottom w:val="single" w:sz="6" w:space="12" w:color="auto"/>
                <w:right w:val="single" w:sz="6" w:space="12" w:color="auto"/>
              </w:divBdr>
              <w:divsChild>
                <w:div w:id="527136522">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1055</Words>
  <Characters>6019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+STEVEN I</vt:lpstr>
    </vt:vector>
  </TitlesOfParts>
  <Company>Technology Enterprises Inc</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+STEVEN I</dc:title>
  <dc:subject/>
  <dc:creator>Steven I Givot</dc:creator>
  <cp:keywords/>
  <dc:description/>
  <cp:lastModifiedBy>Steven Givot</cp:lastModifiedBy>
  <cp:revision>2</cp:revision>
  <cp:lastPrinted>2018-10-10T13:33:00Z</cp:lastPrinted>
  <dcterms:created xsi:type="dcterms:W3CDTF">2019-09-02T17:55:00Z</dcterms:created>
  <dcterms:modified xsi:type="dcterms:W3CDTF">2019-09-02T17:55:00Z</dcterms:modified>
</cp:coreProperties>
</file>