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DFA" w:rsidRPr="003A75E6" w:rsidRDefault="00597FF6" w:rsidP="003A75E6">
      <w:pPr>
        <w:spacing w:line="276" w:lineRule="auto"/>
        <w:jc w:val="center"/>
        <w:textAlignment w:val="baseline"/>
        <w:rPr>
          <w:rFonts w:eastAsia="Times New Roman"/>
          <w:b/>
          <w:color w:val="000000"/>
          <w:spacing w:val="-1"/>
          <w:sz w:val="26"/>
          <w:szCs w:val="26"/>
        </w:rPr>
      </w:pPr>
      <w:bookmarkStart w:id="0" w:name="_GoBack"/>
      <w:bookmarkEnd w:id="0"/>
      <w:r w:rsidRPr="003A75E6">
        <w:rPr>
          <w:rFonts w:eastAsia="Times New Roman"/>
          <w:b/>
          <w:color w:val="000000"/>
          <w:spacing w:val="-1"/>
          <w:sz w:val="26"/>
          <w:szCs w:val="26"/>
        </w:rPr>
        <w:t>Before the</w:t>
      </w:r>
    </w:p>
    <w:p w:rsidR="00517DFA" w:rsidRPr="003A75E6" w:rsidRDefault="00597FF6" w:rsidP="003A75E6">
      <w:pPr>
        <w:spacing w:line="276" w:lineRule="auto"/>
        <w:jc w:val="center"/>
        <w:textAlignment w:val="baseline"/>
        <w:rPr>
          <w:rFonts w:eastAsia="Times New Roman"/>
          <w:b/>
          <w:color w:val="000000"/>
          <w:sz w:val="26"/>
          <w:szCs w:val="26"/>
        </w:rPr>
      </w:pPr>
      <w:r w:rsidRPr="003A75E6">
        <w:rPr>
          <w:rFonts w:eastAsia="Times New Roman"/>
          <w:b/>
          <w:color w:val="000000"/>
          <w:sz w:val="26"/>
          <w:szCs w:val="26"/>
        </w:rPr>
        <w:t xml:space="preserve">Federal Communications Commission </w:t>
      </w:r>
      <w:r w:rsidRPr="003A75E6">
        <w:rPr>
          <w:rFonts w:eastAsia="Times New Roman"/>
          <w:b/>
          <w:color w:val="000000"/>
          <w:sz w:val="26"/>
          <w:szCs w:val="26"/>
        </w:rPr>
        <w:br/>
        <w:t>Washington, D.C. 20554</w:t>
      </w:r>
    </w:p>
    <w:tbl>
      <w:tblPr>
        <w:tblW w:w="0" w:type="auto"/>
        <w:tblLayout w:type="fixed"/>
        <w:tblCellMar>
          <w:left w:w="0" w:type="dxa"/>
          <w:right w:w="0" w:type="dxa"/>
        </w:tblCellMar>
        <w:tblLook w:val="0000" w:firstRow="0" w:lastRow="0" w:firstColumn="0" w:lastColumn="0" w:noHBand="0" w:noVBand="0"/>
      </w:tblPr>
      <w:tblGrid>
        <w:gridCol w:w="5594"/>
        <w:gridCol w:w="3766"/>
      </w:tblGrid>
      <w:tr w:rsidR="00517DFA" w:rsidRPr="003A75E6" w:rsidTr="00665A1F">
        <w:trPr>
          <w:trHeight w:hRule="exact" w:val="2529"/>
        </w:trPr>
        <w:tc>
          <w:tcPr>
            <w:tcW w:w="5594" w:type="dxa"/>
            <w:tcBorders>
              <w:top w:val="none" w:sz="0" w:space="0" w:color="000000"/>
              <w:left w:val="none" w:sz="0" w:space="0" w:color="000000"/>
              <w:bottom w:val="none" w:sz="0" w:space="0" w:color="000000"/>
              <w:right w:val="none" w:sz="0" w:space="0" w:color="000000"/>
            </w:tcBorders>
          </w:tcPr>
          <w:p w:rsidR="003A75E6" w:rsidRDefault="003A75E6" w:rsidP="003A75E6">
            <w:pPr>
              <w:spacing w:line="240" w:lineRule="auto"/>
              <w:textAlignment w:val="baseline"/>
              <w:rPr>
                <w:rFonts w:eastAsia="Times New Roman"/>
                <w:color w:val="000000"/>
                <w:sz w:val="26"/>
                <w:szCs w:val="26"/>
              </w:rPr>
            </w:pPr>
          </w:p>
          <w:p w:rsidR="00517DFA" w:rsidRPr="003A75E6" w:rsidRDefault="00597FF6" w:rsidP="003A75E6">
            <w:pPr>
              <w:spacing w:line="240" w:lineRule="auto"/>
              <w:textAlignment w:val="baseline"/>
              <w:rPr>
                <w:rFonts w:eastAsia="Times New Roman"/>
                <w:color w:val="000000"/>
                <w:sz w:val="26"/>
                <w:szCs w:val="26"/>
              </w:rPr>
            </w:pPr>
            <w:r w:rsidRPr="003A75E6">
              <w:rPr>
                <w:rFonts w:eastAsia="Times New Roman"/>
                <w:color w:val="000000"/>
                <w:sz w:val="26"/>
                <w:szCs w:val="26"/>
              </w:rPr>
              <w:t>In the Matter of</w:t>
            </w:r>
          </w:p>
          <w:p w:rsidR="00517DFA" w:rsidRPr="003A75E6" w:rsidRDefault="00597FF6" w:rsidP="003A75E6">
            <w:pPr>
              <w:spacing w:line="240" w:lineRule="auto"/>
              <w:ind w:right="900"/>
              <w:textAlignment w:val="baseline"/>
              <w:rPr>
                <w:rFonts w:eastAsia="Times New Roman"/>
                <w:color w:val="000000"/>
                <w:sz w:val="26"/>
                <w:szCs w:val="26"/>
              </w:rPr>
            </w:pPr>
            <w:r w:rsidRPr="003A75E6">
              <w:rPr>
                <w:rFonts w:eastAsia="Times New Roman"/>
                <w:color w:val="000000"/>
                <w:sz w:val="26"/>
                <w:szCs w:val="26"/>
              </w:rPr>
              <w:t xml:space="preserve">Petition of USTelecom for Forbearance </w:t>
            </w:r>
            <w:r w:rsidR="004C1254" w:rsidRPr="003A75E6">
              <w:rPr>
                <w:rFonts w:eastAsia="Times New Roman"/>
                <w:color w:val="000000"/>
                <w:sz w:val="26"/>
                <w:szCs w:val="26"/>
              </w:rPr>
              <w:t xml:space="preserve">Pursuant to </w:t>
            </w:r>
            <w:r w:rsidRPr="003A75E6">
              <w:rPr>
                <w:rFonts w:eastAsia="Times New Roman"/>
                <w:color w:val="000000"/>
                <w:sz w:val="26"/>
                <w:szCs w:val="26"/>
              </w:rPr>
              <w:t xml:space="preserve">47 U.S.C. § 160(c) From </w:t>
            </w:r>
            <w:r w:rsidR="004C1254" w:rsidRPr="003A75E6">
              <w:rPr>
                <w:rFonts w:eastAsia="Times New Roman"/>
                <w:color w:val="000000"/>
                <w:sz w:val="26"/>
                <w:szCs w:val="26"/>
              </w:rPr>
              <w:t xml:space="preserve">Obsolete </w:t>
            </w:r>
            <w:r w:rsidR="00B22F91" w:rsidRPr="003A75E6">
              <w:rPr>
                <w:rFonts w:eastAsia="Times New Roman"/>
                <w:color w:val="000000"/>
                <w:sz w:val="26"/>
                <w:szCs w:val="26"/>
              </w:rPr>
              <w:t xml:space="preserve">To Accelerate Investment in Broadband and </w:t>
            </w:r>
            <w:r w:rsidR="004C1254" w:rsidRPr="003A75E6">
              <w:rPr>
                <w:rFonts w:eastAsia="Times New Roman"/>
                <w:color w:val="000000"/>
                <w:sz w:val="26"/>
                <w:szCs w:val="26"/>
              </w:rPr>
              <w:t>Next-Generation Networks</w:t>
            </w:r>
          </w:p>
        </w:tc>
        <w:tc>
          <w:tcPr>
            <w:tcW w:w="3766" w:type="dxa"/>
            <w:tcBorders>
              <w:top w:val="none" w:sz="0" w:space="0" w:color="000000"/>
              <w:left w:val="none" w:sz="0" w:space="0" w:color="000000"/>
              <w:bottom w:val="none" w:sz="0" w:space="0" w:color="000000"/>
              <w:right w:val="none" w:sz="0" w:space="0" w:color="000000"/>
            </w:tcBorders>
          </w:tcPr>
          <w:p w:rsidR="003A75E6" w:rsidRDefault="003A75E6" w:rsidP="003A75E6">
            <w:pPr>
              <w:spacing w:line="240" w:lineRule="auto"/>
              <w:ind w:right="562"/>
              <w:jc w:val="right"/>
              <w:textAlignment w:val="baseline"/>
              <w:rPr>
                <w:rFonts w:eastAsia="Times New Roman"/>
                <w:color w:val="000000"/>
                <w:sz w:val="26"/>
                <w:szCs w:val="26"/>
              </w:rPr>
            </w:pPr>
          </w:p>
          <w:p w:rsidR="00517DFA" w:rsidRPr="003A75E6" w:rsidRDefault="00597FF6" w:rsidP="003A75E6">
            <w:pPr>
              <w:spacing w:line="240" w:lineRule="auto"/>
              <w:ind w:right="562"/>
              <w:jc w:val="right"/>
              <w:textAlignment w:val="baseline"/>
              <w:rPr>
                <w:rFonts w:eastAsia="Times New Roman"/>
                <w:color w:val="000000"/>
                <w:sz w:val="26"/>
                <w:szCs w:val="26"/>
              </w:rPr>
            </w:pPr>
            <w:r w:rsidRPr="003A75E6">
              <w:rPr>
                <w:rFonts w:eastAsia="Times New Roman"/>
                <w:color w:val="000000"/>
                <w:sz w:val="26"/>
                <w:szCs w:val="26"/>
              </w:rPr>
              <w:t xml:space="preserve">WC Docket No. </w:t>
            </w:r>
            <w:r w:rsidR="00B22F91" w:rsidRPr="003A75E6">
              <w:rPr>
                <w:rFonts w:eastAsia="Times New Roman"/>
                <w:color w:val="000000"/>
                <w:sz w:val="26"/>
                <w:szCs w:val="26"/>
              </w:rPr>
              <w:t>18-141</w:t>
            </w:r>
          </w:p>
        </w:tc>
      </w:tr>
    </w:tbl>
    <w:p w:rsidR="00665A1F" w:rsidRPr="003A75E6" w:rsidRDefault="002C21A8" w:rsidP="003A75E6">
      <w:pPr>
        <w:spacing w:line="240" w:lineRule="auto"/>
        <w:jc w:val="center"/>
        <w:textAlignment w:val="baseline"/>
        <w:rPr>
          <w:rFonts w:eastAsia="Times New Roman"/>
          <w:b/>
          <w:color w:val="000000"/>
          <w:sz w:val="26"/>
          <w:szCs w:val="26"/>
        </w:rPr>
      </w:pPr>
      <w:r w:rsidRPr="003A75E6">
        <w:rPr>
          <w:rFonts w:eastAsia="Times New Roman"/>
          <w:b/>
          <w:color w:val="000000"/>
          <w:sz w:val="26"/>
          <w:szCs w:val="26"/>
        </w:rPr>
        <w:t xml:space="preserve">REPLY </w:t>
      </w:r>
      <w:r w:rsidR="00597FF6" w:rsidRPr="003A75E6">
        <w:rPr>
          <w:rFonts w:eastAsia="Times New Roman"/>
          <w:b/>
          <w:color w:val="000000"/>
          <w:sz w:val="26"/>
          <w:szCs w:val="26"/>
        </w:rPr>
        <w:t>COMMENTS OF THE</w:t>
      </w:r>
    </w:p>
    <w:p w:rsidR="00517DFA" w:rsidRPr="003A75E6" w:rsidRDefault="00597FF6" w:rsidP="003A75E6">
      <w:pPr>
        <w:jc w:val="center"/>
        <w:textAlignment w:val="baseline"/>
        <w:rPr>
          <w:rFonts w:eastAsia="Times New Roman"/>
          <w:b/>
          <w:color w:val="000000"/>
          <w:sz w:val="26"/>
          <w:szCs w:val="26"/>
        </w:rPr>
      </w:pPr>
      <w:r w:rsidRPr="003A75E6">
        <w:rPr>
          <w:rFonts w:eastAsia="Times New Roman"/>
          <w:b/>
          <w:color w:val="000000"/>
          <w:sz w:val="26"/>
          <w:szCs w:val="26"/>
        </w:rPr>
        <w:t>PENNSYLVANIA PUBLIC UTILITY COMMISSION</w:t>
      </w:r>
    </w:p>
    <w:p w:rsidR="00DE16A5" w:rsidRPr="003A75E6" w:rsidRDefault="00DE16A5" w:rsidP="003A75E6">
      <w:pPr>
        <w:ind w:right="72" w:firstLine="720"/>
        <w:textAlignment w:val="baseline"/>
        <w:rPr>
          <w:rFonts w:eastAsia="Times New Roman"/>
          <w:color w:val="000000"/>
          <w:spacing w:val="-1"/>
          <w:sz w:val="26"/>
          <w:szCs w:val="26"/>
        </w:rPr>
      </w:pPr>
    </w:p>
    <w:p w:rsidR="00517DFA" w:rsidRPr="003A75E6" w:rsidRDefault="00B22F91" w:rsidP="003A75E6">
      <w:pPr>
        <w:ind w:right="72" w:firstLine="720"/>
        <w:textAlignment w:val="baseline"/>
        <w:rPr>
          <w:rFonts w:eastAsia="Times New Roman"/>
          <w:color w:val="000000"/>
          <w:spacing w:val="-1"/>
          <w:sz w:val="26"/>
          <w:szCs w:val="26"/>
        </w:rPr>
      </w:pPr>
      <w:r w:rsidRPr="003A75E6">
        <w:rPr>
          <w:rFonts w:eastAsia="Times New Roman"/>
          <w:color w:val="000000"/>
          <w:spacing w:val="-1"/>
          <w:sz w:val="26"/>
          <w:szCs w:val="26"/>
        </w:rPr>
        <w:t xml:space="preserve">In accordance with the Order released by the Federal Communications Commission (Commission) on June 1, 2018, </w:t>
      </w:r>
      <w:r w:rsidR="00BF6BFF" w:rsidRPr="003A75E6">
        <w:rPr>
          <w:rFonts w:eastAsia="Times New Roman"/>
          <w:color w:val="000000"/>
          <w:spacing w:val="-1"/>
          <w:sz w:val="26"/>
          <w:szCs w:val="26"/>
        </w:rPr>
        <w:t xml:space="preserve">which </w:t>
      </w:r>
      <w:r w:rsidRPr="003A75E6">
        <w:rPr>
          <w:rFonts w:eastAsia="Times New Roman"/>
          <w:color w:val="000000"/>
          <w:spacing w:val="-1"/>
          <w:sz w:val="26"/>
          <w:szCs w:val="26"/>
        </w:rPr>
        <w:t>exten</w:t>
      </w:r>
      <w:r w:rsidR="00BF6BFF" w:rsidRPr="003A75E6">
        <w:rPr>
          <w:rFonts w:eastAsia="Times New Roman"/>
          <w:color w:val="000000"/>
          <w:spacing w:val="-1"/>
          <w:sz w:val="26"/>
          <w:szCs w:val="26"/>
        </w:rPr>
        <w:t xml:space="preserve">ded the </w:t>
      </w:r>
      <w:r w:rsidRPr="003A75E6">
        <w:rPr>
          <w:rFonts w:eastAsia="Times New Roman"/>
          <w:color w:val="000000"/>
          <w:spacing w:val="-1"/>
          <w:sz w:val="26"/>
          <w:szCs w:val="26"/>
        </w:rPr>
        <w:t>time for fil</w:t>
      </w:r>
      <w:r w:rsidR="00BF6BFF" w:rsidRPr="003A75E6">
        <w:rPr>
          <w:rFonts w:eastAsia="Times New Roman"/>
          <w:color w:val="000000"/>
          <w:spacing w:val="-1"/>
          <w:sz w:val="26"/>
          <w:szCs w:val="26"/>
        </w:rPr>
        <w:t>ing</w:t>
      </w:r>
      <w:r w:rsidRPr="003A75E6">
        <w:rPr>
          <w:rFonts w:eastAsia="Times New Roman"/>
          <w:color w:val="000000"/>
          <w:spacing w:val="-1"/>
          <w:sz w:val="26"/>
          <w:szCs w:val="26"/>
        </w:rPr>
        <w:t xml:space="preserve"> comments and reply comments, respectively</w:t>
      </w:r>
      <w:r w:rsidR="003A75E6">
        <w:rPr>
          <w:rFonts w:eastAsia="Times New Roman"/>
          <w:color w:val="000000"/>
          <w:spacing w:val="-1"/>
          <w:sz w:val="26"/>
          <w:szCs w:val="26"/>
        </w:rPr>
        <w:t>,</w:t>
      </w:r>
      <w:r w:rsidR="00BF6BFF" w:rsidRPr="003A75E6">
        <w:rPr>
          <w:rStyle w:val="FootnoteReference"/>
          <w:rFonts w:eastAsia="Times New Roman"/>
          <w:color w:val="000000"/>
          <w:spacing w:val="-1"/>
          <w:sz w:val="26"/>
          <w:szCs w:val="26"/>
        </w:rPr>
        <w:footnoteReference w:id="1"/>
      </w:r>
      <w:r w:rsidRPr="003A75E6">
        <w:rPr>
          <w:rFonts w:eastAsia="Times New Roman"/>
          <w:color w:val="000000"/>
          <w:spacing w:val="-1"/>
          <w:sz w:val="26"/>
          <w:szCs w:val="26"/>
        </w:rPr>
        <w:t xml:space="preserve"> t</w:t>
      </w:r>
      <w:r w:rsidR="00597FF6" w:rsidRPr="003A75E6">
        <w:rPr>
          <w:rFonts w:eastAsia="Times New Roman"/>
          <w:color w:val="000000"/>
          <w:spacing w:val="-1"/>
          <w:sz w:val="26"/>
          <w:szCs w:val="26"/>
        </w:rPr>
        <w:t>he Pennsylvania</w:t>
      </w:r>
      <w:r w:rsidR="00523D2A" w:rsidRPr="003A75E6">
        <w:rPr>
          <w:rFonts w:eastAsia="Times New Roman"/>
          <w:color w:val="000000"/>
          <w:spacing w:val="-1"/>
          <w:sz w:val="26"/>
          <w:szCs w:val="26"/>
        </w:rPr>
        <w:t xml:space="preserve"> Public Utility Commission (Pa</w:t>
      </w:r>
      <w:r w:rsidR="009E0C06" w:rsidRPr="003A75E6">
        <w:rPr>
          <w:rFonts w:eastAsia="Times New Roman"/>
          <w:color w:val="000000"/>
          <w:spacing w:val="-1"/>
          <w:sz w:val="26"/>
          <w:szCs w:val="26"/>
        </w:rPr>
        <w:t xml:space="preserve">. </w:t>
      </w:r>
      <w:r w:rsidR="00597FF6" w:rsidRPr="003A75E6">
        <w:rPr>
          <w:rFonts w:eastAsia="Times New Roman"/>
          <w:color w:val="000000"/>
          <w:spacing w:val="-1"/>
          <w:sz w:val="26"/>
          <w:szCs w:val="26"/>
        </w:rPr>
        <w:t xml:space="preserve">PUC) files these </w:t>
      </w:r>
      <w:r w:rsidR="00BF6BFF" w:rsidRPr="003A75E6">
        <w:rPr>
          <w:rFonts w:eastAsia="Times New Roman"/>
          <w:color w:val="000000"/>
          <w:spacing w:val="-1"/>
          <w:sz w:val="26"/>
          <w:szCs w:val="26"/>
        </w:rPr>
        <w:t xml:space="preserve">reply </w:t>
      </w:r>
      <w:r w:rsidR="009E0C06" w:rsidRPr="003A75E6">
        <w:rPr>
          <w:rFonts w:eastAsia="Times New Roman"/>
          <w:color w:val="000000"/>
          <w:spacing w:val="-1"/>
          <w:sz w:val="26"/>
          <w:szCs w:val="26"/>
        </w:rPr>
        <w:t>c</w:t>
      </w:r>
      <w:r w:rsidR="00597FF6" w:rsidRPr="003A75E6">
        <w:rPr>
          <w:rFonts w:eastAsia="Times New Roman"/>
          <w:color w:val="000000"/>
          <w:spacing w:val="-1"/>
          <w:sz w:val="26"/>
          <w:szCs w:val="26"/>
        </w:rPr>
        <w:t xml:space="preserve">omments </w:t>
      </w:r>
      <w:r w:rsidR="00BF6BFF" w:rsidRPr="003A75E6">
        <w:rPr>
          <w:rFonts w:eastAsia="Times New Roman"/>
          <w:color w:val="000000"/>
          <w:spacing w:val="-1"/>
          <w:sz w:val="26"/>
          <w:szCs w:val="26"/>
        </w:rPr>
        <w:t xml:space="preserve">in this proceeding.  </w:t>
      </w:r>
      <w:r w:rsidRPr="003A75E6">
        <w:rPr>
          <w:rFonts w:eastAsia="Times New Roman"/>
          <w:color w:val="000000"/>
          <w:spacing w:val="-1"/>
          <w:sz w:val="26"/>
          <w:szCs w:val="26"/>
        </w:rPr>
        <w:t xml:space="preserve">Pursuant to the </w:t>
      </w:r>
      <w:r w:rsidR="005345AA" w:rsidRPr="003A75E6">
        <w:rPr>
          <w:rFonts w:eastAsia="Times New Roman"/>
          <w:color w:val="000000"/>
          <w:spacing w:val="-1"/>
          <w:sz w:val="26"/>
          <w:szCs w:val="26"/>
        </w:rPr>
        <w:t>June 1</w:t>
      </w:r>
      <w:r w:rsidR="009E0C06" w:rsidRPr="003A75E6">
        <w:rPr>
          <w:rFonts w:eastAsia="Times New Roman"/>
          <w:color w:val="000000"/>
          <w:spacing w:val="-1"/>
          <w:sz w:val="26"/>
          <w:szCs w:val="26"/>
        </w:rPr>
        <w:t xml:space="preserve">, 2018 </w:t>
      </w:r>
      <w:r w:rsidRPr="003A75E6">
        <w:rPr>
          <w:rFonts w:eastAsia="Times New Roman"/>
          <w:color w:val="000000"/>
          <w:spacing w:val="-1"/>
          <w:sz w:val="26"/>
          <w:szCs w:val="26"/>
        </w:rPr>
        <w:t xml:space="preserve">Order, </w:t>
      </w:r>
      <w:r w:rsidR="009E0C06" w:rsidRPr="003A75E6">
        <w:rPr>
          <w:rFonts w:eastAsia="Times New Roman"/>
          <w:color w:val="000000"/>
          <w:spacing w:val="-1"/>
          <w:sz w:val="26"/>
          <w:szCs w:val="26"/>
        </w:rPr>
        <w:t>r</w:t>
      </w:r>
      <w:r w:rsidR="00597FF6" w:rsidRPr="003A75E6">
        <w:rPr>
          <w:rFonts w:eastAsia="Times New Roman"/>
          <w:color w:val="000000"/>
          <w:spacing w:val="-1"/>
          <w:sz w:val="26"/>
          <w:szCs w:val="26"/>
        </w:rPr>
        <w:t xml:space="preserve">eply </w:t>
      </w:r>
      <w:r w:rsidR="009E0C06" w:rsidRPr="003A75E6">
        <w:rPr>
          <w:rFonts w:eastAsia="Times New Roman"/>
          <w:color w:val="000000"/>
          <w:spacing w:val="-1"/>
          <w:sz w:val="26"/>
          <w:szCs w:val="26"/>
        </w:rPr>
        <w:t>c</w:t>
      </w:r>
      <w:r w:rsidR="00597FF6" w:rsidRPr="003A75E6">
        <w:rPr>
          <w:rFonts w:eastAsia="Times New Roman"/>
          <w:color w:val="000000"/>
          <w:spacing w:val="-1"/>
          <w:sz w:val="26"/>
          <w:szCs w:val="26"/>
        </w:rPr>
        <w:t xml:space="preserve">omments </w:t>
      </w:r>
      <w:r w:rsidR="003E084F" w:rsidRPr="003A75E6">
        <w:rPr>
          <w:rFonts w:eastAsia="Times New Roman"/>
          <w:color w:val="000000"/>
          <w:spacing w:val="-1"/>
          <w:sz w:val="26"/>
          <w:szCs w:val="26"/>
        </w:rPr>
        <w:t xml:space="preserve">are due </w:t>
      </w:r>
      <w:r w:rsidR="00597FF6" w:rsidRPr="003A75E6">
        <w:rPr>
          <w:rFonts w:eastAsia="Times New Roman"/>
          <w:color w:val="000000"/>
          <w:spacing w:val="-1"/>
          <w:sz w:val="26"/>
          <w:szCs w:val="26"/>
        </w:rPr>
        <w:t xml:space="preserve">on or before </w:t>
      </w:r>
      <w:r w:rsidRPr="003A75E6">
        <w:rPr>
          <w:rFonts w:eastAsia="Times New Roman"/>
          <w:color w:val="000000"/>
          <w:spacing w:val="-1"/>
          <w:sz w:val="26"/>
          <w:szCs w:val="26"/>
        </w:rPr>
        <w:t>September 5</w:t>
      </w:r>
      <w:r w:rsidR="00523D2A" w:rsidRPr="003A75E6">
        <w:rPr>
          <w:rFonts w:eastAsia="Times New Roman"/>
          <w:color w:val="000000"/>
          <w:spacing w:val="-1"/>
          <w:sz w:val="26"/>
          <w:szCs w:val="26"/>
        </w:rPr>
        <w:t>, 201</w:t>
      </w:r>
      <w:r w:rsidRPr="003A75E6">
        <w:rPr>
          <w:rFonts w:eastAsia="Times New Roman"/>
          <w:color w:val="000000"/>
          <w:spacing w:val="-1"/>
          <w:sz w:val="26"/>
          <w:szCs w:val="26"/>
        </w:rPr>
        <w:t>8.</w:t>
      </w:r>
    </w:p>
    <w:p w:rsidR="00665A1F" w:rsidRPr="003A75E6" w:rsidRDefault="00665A1F" w:rsidP="003A75E6">
      <w:pPr>
        <w:ind w:right="72" w:firstLine="720"/>
        <w:textAlignment w:val="baseline"/>
        <w:rPr>
          <w:rFonts w:eastAsia="Times New Roman"/>
          <w:color w:val="000000"/>
          <w:spacing w:val="-1"/>
          <w:sz w:val="26"/>
          <w:szCs w:val="26"/>
        </w:rPr>
      </w:pPr>
    </w:p>
    <w:p w:rsidR="00250720" w:rsidRPr="003A75E6" w:rsidRDefault="00250720" w:rsidP="003A75E6">
      <w:pPr>
        <w:ind w:right="144" w:firstLine="720"/>
        <w:textAlignment w:val="baseline"/>
        <w:rPr>
          <w:rFonts w:eastAsia="Times New Roman"/>
          <w:color w:val="000000"/>
          <w:sz w:val="26"/>
          <w:szCs w:val="26"/>
        </w:rPr>
      </w:pPr>
      <w:r w:rsidRPr="003A75E6">
        <w:rPr>
          <w:rFonts w:eastAsia="Times New Roman"/>
          <w:color w:val="000000"/>
          <w:sz w:val="26"/>
          <w:szCs w:val="26"/>
        </w:rPr>
        <w:t xml:space="preserve">As an initial matter, these </w:t>
      </w:r>
      <w:r w:rsidR="00BF6BFF" w:rsidRPr="003A75E6">
        <w:rPr>
          <w:rFonts w:eastAsia="Times New Roman"/>
          <w:color w:val="000000"/>
          <w:sz w:val="26"/>
          <w:szCs w:val="26"/>
        </w:rPr>
        <w:t xml:space="preserve">reply </w:t>
      </w:r>
      <w:r w:rsidR="009E0C06" w:rsidRPr="003A75E6">
        <w:rPr>
          <w:rFonts w:eastAsia="Times New Roman"/>
          <w:color w:val="000000"/>
          <w:sz w:val="26"/>
          <w:szCs w:val="26"/>
        </w:rPr>
        <w:t>c</w:t>
      </w:r>
      <w:r w:rsidRPr="003A75E6">
        <w:rPr>
          <w:rFonts w:eastAsia="Times New Roman"/>
          <w:color w:val="000000"/>
          <w:sz w:val="26"/>
          <w:szCs w:val="26"/>
        </w:rPr>
        <w:t>omments should not be construed as binding on the Pa</w:t>
      </w:r>
      <w:r w:rsidR="009E0C06" w:rsidRPr="003A75E6">
        <w:rPr>
          <w:rFonts w:eastAsia="Times New Roman"/>
          <w:color w:val="000000"/>
          <w:sz w:val="26"/>
          <w:szCs w:val="26"/>
        </w:rPr>
        <w:t xml:space="preserve">. </w:t>
      </w:r>
      <w:r w:rsidRPr="003A75E6">
        <w:rPr>
          <w:rFonts w:eastAsia="Times New Roman"/>
          <w:color w:val="000000"/>
          <w:sz w:val="26"/>
          <w:szCs w:val="26"/>
        </w:rPr>
        <w:t>PUC in any matter before the Pa</w:t>
      </w:r>
      <w:r w:rsidR="009E0C06" w:rsidRPr="003A75E6">
        <w:rPr>
          <w:rFonts w:eastAsia="Times New Roman"/>
          <w:color w:val="000000"/>
          <w:sz w:val="26"/>
          <w:szCs w:val="26"/>
        </w:rPr>
        <w:t xml:space="preserve">. </w:t>
      </w:r>
      <w:r w:rsidRPr="003A75E6">
        <w:rPr>
          <w:rFonts w:eastAsia="Times New Roman"/>
          <w:color w:val="000000"/>
          <w:sz w:val="26"/>
          <w:szCs w:val="26"/>
        </w:rPr>
        <w:t xml:space="preserve">PUC.  Moreover, the </w:t>
      </w:r>
      <w:r w:rsidR="009E0C06" w:rsidRPr="003A75E6">
        <w:rPr>
          <w:rFonts w:eastAsia="Times New Roman"/>
          <w:color w:val="000000"/>
          <w:sz w:val="26"/>
          <w:szCs w:val="26"/>
        </w:rPr>
        <w:t>Pa. PUC</w:t>
      </w:r>
      <w:r w:rsidRPr="003A75E6">
        <w:rPr>
          <w:rFonts w:eastAsia="Times New Roman"/>
          <w:color w:val="000000"/>
          <w:sz w:val="26"/>
          <w:szCs w:val="26"/>
        </w:rPr>
        <w:t xml:space="preserve">’s position set forth in these </w:t>
      </w:r>
      <w:r w:rsidR="00BF6BFF" w:rsidRPr="003A75E6">
        <w:rPr>
          <w:rFonts w:eastAsia="Times New Roman"/>
          <w:color w:val="000000"/>
          <w:sz w:val="26"/>
          <w:szCs w:val="26"/>
        </w:rPr>
        <w:t xml:space="preserve">reply </w:t>
      </w:r>
      <w:r w:rsidR="009E0C06" w:rsidRPr="003A75E6">
        <w:rPr>
          <w:rFonts w:eastAsia="Times New Roman"/>
          <w:color w:val="000000"/>
          <w:sz w:val="26"/>
          <w:szCs w:val="26"/>
        </w:rPr>
        <w:t>c</w:t>
      </w:r>
      <w:r w:rsidRPr="003A75E6">
        <w:rPr>
          <w:rFonts w:eastAsia="Times New Roman"/>
          <w:color w:val="000000"/>
          <w:sz w:val="26"/>
          <w:szCs w:val="26"/>
        </w:rPr>
        <w:t xml:space="preserve">omments could change in response to later events, including </w:t>
      </w:r>
      <w:r w:rsidR="009E0C06" w:rsidRPr="003A75E6">
        <w:rPr>
          <w:rFonts w:eastAsia="Times New Roman"/>
          <w:color w:val="000000"/>
          <w:sz w:val="26"/>
          <w:szCs w:val="26"/>
        </w:rPr>
        <w:t>e</w:t>
      </w:r>
      <w:r w:rsidRPr="003A75E6">
        <w:rPr>
          <w:rFonts w:eastAsia="Times New Roman"/>
          <w:color w:val="000000"/>
          <w:sz w:val="26"/>
          <w:szCs w:val="26"/>
        </w:rPr>
        <w:t xml:space="preserve">x </w:t>
      </w:r>
      <w:r w:rsidR="009E0C06" w:rsidRPr="003A75E6">
        <w:rPr>
          <w:rFonts w:eastAsia="Times New Roman"/>
          <w:color w:val="000000"/>
          <w:sz w:val="26"/>
          <w:szCs w:val="26"/>
        </w:rPr>
        <w:t>p</w:t>
      </w:r>
      <w:r w:rsidRPr="003A75E6">
        <w:rPr>
          <w:rFonts w:eastAsia="Times New Roman"/>
          <w:color w:val="000000"/>
          <w:sz w:val="26"/>
          <w:szCs w:val="26"/>
        </w:rPr>
        <w:t xml:space="preserve">arte filings, legal proceedings or other regulatory developments at the state or federal level.  Lastly, the instant </w:t>
      </w:r>
      <w:r w:rsidR="00BF6BFF" w:rsidRPr="003A75E6">
        <w:rPr>
          <w:rFonts w:eastAsia="Times New Roman"/>
          <w:color w:val="000000"/>
          <w:sz w:val="26"/>
          <w:szCs w:val="26"/>
        </w:rPr>
        <w:t xml:space="preserve">reply </w:t>
      </w:r>
      <w:r w:rsidR="009E0C06" w:rsidRPr="003A75E6">
        <w:rPr>
          <w:rFonts w:eastAsia="Times New Roman"/>
          <w:color w:val="000000"/>
          <w:sz w:val="26"/>
          <w:szCs w:val="26"/>
        </w:rPr>
        <w:t>c</w:t>
      </w:r>
      <w:r w:rsidRPr="003A75E6">
        <w:rPr>
          <w:rFonts w:eastAsia="Times New Roman"/>
          <w:color w:val="000000"/>
          <w:sz w:val="26"/>
          <w:szCs w:val="26"/>
        </w:rPr>
        <w:t xml:space="preserve">omments build upon and reiterate prior filings of the </w:t>
      </w:r>
      <w:r w:rsidR="009E0C06" w:rsidRPr="003A75E6">
        <w:rPr>
          <w:rFonts w:eastAsia="Times New Roman"/>
          <w:color w:val="000000"/>
          <w:sz w:val="26"/>
          <w:szCs w:val="26"/>
        </w:rPr>
        <w:t>Pa. PUC</w:t>
      </w:r>
      <w:r w:rsidRPr="003A75E6">
        <w:rPr>
          <w:rFonts w:eastAsia="Times New Roman"/>
          <w:color w:val="000000"/>
          <w:sz w:val="26"/>
          <w:szCs w:val="26"/>
        </w:rPr>
        <w:t xml:space="preserve"> on several issues concerning forbearance.</w:t>
      </w:r>
    </w:p>
    <w:p w:rsidR="003A75E6" w:rsidRDefault="003A75E6">
      <w:pPr>
        <w:rPr>
          <w:rFonts w:eastAsia="Times New Roman"/>
          <w:b/>
          <w:color w:val="000000"/>
          <w:sz w:val="26"/>
          <w:szCs w:val="26"/>
        </w:rPr>
      </w:pPr>
      <w:r>
        <w:rPr>
          <w:rFonts w:eastAsia="Times New Roman"/>
          <w:b/>
          <w:color w:val="000000"/>
          <w:sz w:val="26"/>
          <w:szCs w:val="26"/>
        </w:rPr>
        <w:br w:type="page"/>
      </w:r>
    </w:p>
    <w:p w:rsidR="00D61BAF" w:rsidRPr="003A75E6" w:rsidRDefault="009E0C06" w:rsidP="003A75E6">
      <w:pPr>
        <w:rPr>
          <w:rFonts w:eastAsia="Times New Roman"/>
          <w:b/>
          <w:color w:val="000000"/>
          <w:sz w:val="26"/>
          <w:szCs w:val="26"/>
        </w:rPr>
      </w:pPr>
      <w:r w:rsidRPr="003A75E6">
        <w:rPr>
          <w:rFonts w:eastAsia="Times New Roman"/>
          <w:b/>
          <w:color w:val="000000"/>
          <w:sz w:val="26"/>
          <w:szCs w:val="26"/>
        </w:rPr>
        <w:lastRenderedPageBreak/>
        <w:t>I.</w:t>
      </w:r>
      <w:r w:rsidRPr="003A75E6">
        <w:rPr>
          <w:rFonts w:eastAsia="Times New Roman"/>
          <w:b/>
          <w:color w:val="000000"/>
          <w:sz w:val="26"/>
          <w:szCs w:val="26"/>
        </w:rPr>
        <w:tab/>
      </w:r>
      <w:r w:rsidR="00DE16A5" w:rsidRPr="003A75E6">
        <w:rPr>
          <w:rFonts w:eastAsia="Times New Roman"/>
          <w:b/>
          <w:color w:val="000000"/>
          <w:sz w:val="26"/>
          <w:szCs w:val="26"/>
        </w:rPr>
        <w:t>Introduction</w:t>
      </w:r>
    </w:p>
    <w:p w:rsidR="00C75ED4" w:rsidRPr="003A75E6" w:rsidRDefault="002540B6" w:rsidP="003A75E6">
      <w:pPr>
        <w:ind w:right="72" w:firstLine="720"/>
        <w:textAlignment w:val="baseline"/>
        <w:rPr>
          <w:rFonts w:eastAsia="Times New Roman"/>
          <w:color w:val="000000"/>
          <w:sz w:val="26"/>
          <w:szCs w:val="26"/>
        </w:rPr>
      </w:pPr>
      <w:r w:rsidRPr="003A75E6">
        <w:rPr>
          <w:rFonts w:eastAsia="Times New Roman"/>
          <w:color w:val="000000"/>
          <w:sz w:val="26"/>
          <w:szCs w:val="26"/>
        </w:rPr>
        <w:t xml:space="preserve">On May 4, 2018, </w:t>
      </w:r>
      <w:r w:rsidR="00597FF6" w:rsidRPr="003A75E6">
        <w:rPr>
          <w:rFonts w:eastAsia="Times New Roman"/>
          <w:color w:val="000000"/>
          <w:sz w:val="26"/>
          <w:szCs w:val="26"/>
        </w:rPr>
        <w:t>US</w:t>
      </w:r>
      <w:r w:rsidR="00523D2A" w:rsidRPr="003A75E6">
        <w:rPr>
          <w:rFonts w:eastAsia="Times New Roman"/>
          <w:color w:val="000000"/>
          <w:sz w:val="26"/>
          <w:szCs w:val="26"/>
        </w:rPr>
        <w:t xml:space="preserve">Telecom </w:t>
      </w:r>
      <w:r w:rsidR="00BF7138" w:rsidRPr="003A75E6">
        <w:rPr>
          <w:rFonts w:eastAsia="Times New Roman"/>
          <w:color w:val="000000"/>
          <w:sz w:val="26"/>
          <w:szCs w:val="26"/>
        </w:rPr>
        <w:t xml:space="preserve">filed </w:t>
      </w:r>
      <w:r w:rsidR="00BF6BFF" w:rsidRPr="003A75E6">
        <w:rPr>
          <w:rFonts w:eastAsia="Times New Roman"/>
          <w:color w:val="000000"/>
          <w:sz w:val="26"/>
          <w:szCs w:val="26"/>
        </w:rPr>
        <w:t xml:space="preserve">a </w:t>
      </w:r>
      <w:r w:rsidR="00597FF6" w:rsidRPr="003A75E6">
        <w:rPr>
          <w:rFonts w:eastAsia="Times New Roman"/>
          <w:color w:val="000000"/>
          <w:sz w:val="26"/>
          <w:szCs w:val="26"/>
        </w:rPr>
        <w:t>Petition seek</w:t>
      </w:r>
      <w:r w:rsidR="00BF7138" w:rsidRPr="003A75E6">
        <w:rPr>
          <w:rFonts w:eastAsia="Times New Roman"/>
          <w:color w:val="000000"/>
          <w:sz w:val="26"/>
          <w:szCs w:val="26"/>
        </w:rPr>
        <w:t>ing</w:t>
      </w:r>
      <w:r w:rsidR="00597FF6" w:rsidRPr="003A75E6">
        <w:rPr>
          <w:rFonts w:eastAsia="Times New Roman"/>
          <w:color w:val="000000"/>
          <w:sz w:val="26"/>
          <w:szCs w:val="26"/>
        </w:rPr>
        <w:t xml:space="preserve"> </w:t>
      </w:r>
      <w:r w:rsidR="00523D2A" w:rsidRPr="003A75E6">
        <w:rPr>
          <w:rFonts w:eastAsia="Times New Roman"/>
          <w:color w:val="000000"/>
          <w:sz w:val="26"/>
          <w:szCs w:val="26"/>
        </w:rPr>
        <w:t xml:space="preserve">forbearance from </w:t>
      </w:r>
      <w:r w:rsidR="00BF7138" w:rsidRPr="003A75E6">
        <w:rPr>
          <w:rFonts w:eastAsia="Times New Roman"/>
          <w:color w:val="000000"/>
          <w:sz w:val="26"/>
          <w:szCs w:val="26"/>
        </w:rPr>
        <w:t xml:space="preserve">various </w:t>
      </w:r>
      <w:r w:rsidR="00C41330" w:rsidRPr="003A75E6">
        <w:rPr>
          <w:rFonts w:eastAsia="Times New Roman"/>
          <w:color w:val="000000"/>
          <w:sz w:val="26"/>
          <w:szCs w:val="26"/>
        </w:rPr>
        <w:t>Incumbent Local Exchange Carrier (</w:t>
      </w:r>
      <w:r w:rsidR="00BF6BFF" w:rsidRPr="003A75E6">
        <w:rPr>
          <w:rFonts w:eastAsia="Times New Roman"/>
          <w:color w:val="000000"/>
          <w:sz w:val="26"/>
          <w:szCs w:val="26"/>
        </w:rPr>
        <w:t>ILEC</w:t>
      </w:r>
      <w:r w:rsidR="00C41330" w:rsidRPr="003A75E6">
        <w:rPr>
          <w:rFonts w:eastAsia="Times New Roman"/>
          <w:color w:val="000000"/>
          <w:sz w:val="26"/>
          <w:szCs w:val="26"/>
        </w:rPr>
        <w:t>)</w:t>
      </w:r>
      <w:r w:rsidR="00BF6BFF" w:rsidRPr="003A75E6">
        <w:rPr>
          <w:rFonts w:eastAsia="Times New Roman"/>
          <w:color w:val="000000"/>
          <w:sz w:val="26"/>
          <w:szCs w:val="26"/>
        </w:rPr>
        <w:t xml:space="preserve">-specific </w:t>
      </w:r>
      <w:r w:rsidR="00BF7138" w:rsidRPr="003A75E6">
        <w:rPr>
          <w:rFonts w:eastAsia="Times New Roman"/>
          <w:color w:val="000000"/>
          <w:sz w:val="26"/>
          <w:szCs w:val="26"/>
        </w:rPr>
        <w:t xml:space="preserve">statutory obligations </w:t>
      </w:r>
      <w:r w:rsidR="00953F8E" w:rsidRPr="003A75E6">
        <w:rPr>
          <w:rFonts w:eastAsia="Times New Roman"/>
          <w:color w:val="000000"/>
          <w:sz w:val="26"/>
          <w:szCs w:val="26"/>
        </w:rPr>
        <w:t xml:space="preserve">designed </w:t>
      </w:r>
      <w:r w:rsidR="00BF7138" w:rsidRPr="003A75E6">
        <w:rPr>
          <w:rFonts w:eastAsia="Times New Roman"/>
          <w:color w:val="000000"/>
          <w:sz w:val="26"/>
          <w:szCs w:val="26"/>
        </w:rPr>
        <w:t>to create a pro-competitive</w:t>
      </w:r>
      <w:r w:rsidR="00953F8E" w:rsidRPr="003A75E6">
        <w:rPr>
          <w:rFonts w:eastAsia="Times New Roman"/>
          <w:color w:val="000000"/>
          <w:sz w:val="26"/>
          <w:szCs w:val="26"/>
        </w:rPr>
        <w:t xml:space="preserve"> telecommunications marketplace</w:t>
      </w:r>
      <w:r w:rsidR="00BF6BFF" w:rsidRPr="003A75E6">
        <w:rPr>
          <w:rFonts w:eastAsia="Times New Roman"/>
          <w:color w:val="000000"/>
          <w:sz w:val="26"/>
          <w:szCs w:val="26"/>
        </w:rPr>
        <w:t>.  P</w:t>
      </w:r>
      <w:r w:rsidR="009E0C06" w:rsidRPr="003A75E6">
        <w:rPr>
          <w:rFonts w:eastAsia="Times New Roman"/>
          <w:color w:val="000000"/>
          <w:sz w:val="26"/>
          <w:szCs w:val="26"/>
        </w:rPr>
        <w:t>ursuant to Section 10 of the Communications Act</w:t>
      </w:r>
      <w:r w:rsidR="00412829" w:rsidRPr="003A75E6">
        <w:rPr>
          <w:rFonts w:eastAsia="Times New Roman"/>
          <w:color w:val="000000"/>
          <w:sz w:val="26"/>
          <w:szCs w:val="26"/>
        </w:rPr>
        <w:t>, as amended (Act)</w:t>
      </w:r>
      <w:r w:rsidR="00BF6BFF" w:rsidRPr="003A75E6">
        <w:rPr>
          <w:rFonts w:eastAsia="Times New Roman"/>
          <w:color w:val="000000"/>
          <w:sz w:val="26"/>
          <w:szCs w:val="26"/>
        </w:rPr>
        <w:t xml:space="preserve">, </w:t>
      </w:r>
      <w:r w:rsidR="009E0C06" w:rsidRPr="003A75E6">
        <w:rPr>
          <w:rFonts w:eastAsia="Times New Roman"/>
          <w:color w:val="000000"/>
          <w:sz w:val="26"/>
          <w:szCs w:val="26"/>
        </w:rPr>
        <w:t xml:space="preserve">USTelecom avers </w:t>
      </w:r>
      <w:r w:rsidR="00C75ED4" w:rsidRPr="003A75E6">
        <w:rPr>
          <w:rFonts w:eastAsia="Times New Roman"/>
          <w:color w:val="000000"/>
          <w:sz w:val="26"/>
          <w:szCs w:val="26"/>
        </w:rPr>
        <w:t xml:space="preserve">that the </w:t>
      </w:r>
      <w:r w:rsidR="00BF6BFF" w:rsidRPr="003A75E6">
        <w:rPr>
          <w:rFonts w:eastAsia="Times New Roman"/>
          <w:color w:val="000000"/>
          <w:sz w:val="26"/>
          <w:szCs w:val="26"/>
        </w:rPr>
        <w:t xml:space="preserve">statutory </w:t>
      </w:r>
      <w:r w:rsidR="00953F8E" w:rsidRPr="003A75E6">
        <w:rPr>
          <w:rFonts w:eastAsia="Times New Roman"/>
          <w:color w:val="000000"/>
          <w:sz w:val="26"/>
          <w:szCs w:val="26"/>
        </w:rPr>
        <w:t xml:space="preserve">obligations </w:t>
      </w:r>
      <w:r w:rsidR="00086657" w:rsidRPr="003A75E6">
        <w:rPr>
          <w:rFonts w:eastAsia="Times New Roman"/>
          <w:color w:val="000000"/>
          <w:sz w:val="26"/>
          <w:szCs w:val="26"/>
        </w:rPr>
        <w:t xml:space="preserve">are </w:t>
      </w:r>
      <w:r w:rsidR="00953F8E" w:rsidRPr="003A75E6">
        <w:rPr>
          <w:rFonts w:eastAsia="Times New Roman"/>
          <w:color w:val="000000"/>
          <w:sz w:val="26"/>
          <w:szCs w:val="26"/>
        </w:rPr>
        <w:t xml:space="preserve">no longer necessary </w:t>
      </w:r>
      <w:r w:rsidR="00086657" w:rsidRPr="003A75E6">
        <w:rPr>
          <w:rFonts w:eastAsia="Times New Roman"/>
          <w:color w:val="000000"/>
          <w:sz w:val="26"/>
          <w:szCs w:val="26"/>
        </w:rPr>
        <w:t xml:space="preserve">and </w:t>
      </w:r>
      <w:r w:rsidR="00C75ED4" w:rsidRPr="003A75E6">
        <w:rPr>
          <w:rFonts w:eastAsia="Times New Roman"/>
          <w:color w:val="000000"/>
          <w:sz w:val="26"/>
          <w:szCs w:val="26"/>
        </w:rPr>
        <w:t xml:space="preserve">distort competition and investment decisions.  Specifically, </w:t>
      </w:r>
      <w:r w:rsidR="009E0C06" w:rsidRPr="003A75E6">
        <w:rPr>
          <w:rFonts w:eastAsia="Times New Roman"/>
          <w:color w:val="000000"/>
          <w:sz w:val="26"/>
          <w:szCs w:val="26"/>
        </w:rPr>
        <w:t>in its</w:t>
      </w:r>
      <w:r w:rsidR="00C75ED4" w:rsidRPr="003A75E6">
        <w:rPr>
          <w:rFonts w:eastAsia="Times New Roman"/>
          <w:color w:val="000000"/>
          <w:sz w:val="26"/>
          <w:szCs w:val="26"/>
        </w:rPr>
        <w:t xml:space="preserve"> Petition</w:t>
      </w:r>
      <w:r w:rsidR="009E0C06" w:rsidRPr="003A75E6">
        <w:rPr>
          <w:rFonts w:eastAsia="Times New Roman"/>
          <w:color w:val="000000"/>
          <w:sz w:val="26"/>
          <w:szCs w:val="26"/>
        </w:rPr>
        <w:t>, USTelecom</w:t>
      </w:r>
      <w:r w:rsidR="00C75ED4" w:rsidRPr="003A75E6">
        <w:rPr>
          <w:rFonts w:eastAsia="Times New Roman"/>
          <w:color w:val="000000"/>
          <w:sz w:val="26"/>
          <w:szCs w:val="26"/>
        </w:rPr>
        <w:t xml:space="preserve"> ask</w:t>
      </w:r>
      <w:r w:rsidR="00BF6BFF" w:rsidRPr="003A75E6">
        <w:rPr>
          <w:rFonts w:eastAsia="Times New Roman"/>
          <w:color w:val="000000"/>
          <w:sz w:val="26"/>
          <w:szCs w:val="26"/>
        </w:rPr>
        <w:t>ed</w:t>
      </w:r>
      <w:r w:rsidR="00C75ED4" w:rsidRPr="003A75E6">
        <w:rPr>
          <w:rFonts w:eastAsia="Times New Roman"/>
          <w:color w:val="000000"/>
          <w:sz w:val="26"/>
          <w:szCs w:val="26"/>
        </w:rPr>
        <w:t xml:space="preserve"> the Commission to forbear from applying</w:t>
      </w:r>
      <w:r w:rsidR="000C5057" w:rsidRPr="003A75E6">
        <w:rPr>
          <w:rFonts w:eastAsia="Times New Roman"/>
          <w:color w:val="000000"/>
          <w:sz w:val="26"/>
          <w:szCs w:val="26"/>
        </w:rPr>
        <w:t xml:space="preserve">, among other things, </w:t>
      </w:r>
      <w:r w:rsidR="00C75ED4" w:rsidRPr="003A75E6">
        <w:rPr>
          <w:rFonts w:eastAsia="Times New Roman"/>
          <w:color w:val="000000"/>
          <w:sz w:val="26"/>
          <w:szCs w:val="26"/>
        </w:rPr>
        <w:t>ILEC-specific unbundling and resale mandates in Section 251(c)(3) and (4) and</w:t>
      </w:r>
      <w:r w:rsidR="000B1235" w:rsidRPr="003A75E6">
        <w:rPr>
          <w:rFonts w:eastAsia="Times New Roman"/>
          <w:color w:val="000000"/>
          <w:sz w:val="26"/>
          <w:szCs w:val="26"/>
        </w:rPr>
        <w:t xml:space="preserve"> </w:t>
      </w:r>
      <w:r w:rsidR="00C75ED4" w:rsidRPr="003A75E6">
        <w:rPr>
          <w:rFonts w:eastAsia="Times New Roman"/>
          <w:color w:val="000000"/>
          <w:sz w:val="26"/>
          <w:szCs w:val="26"/>
        </w:rPr>
        <w:t>associated Section 251 and 252 obligations</w:t>
      </w:r>
      <w:r w:rsidR="000C5057" w:rsidRPr="003A75E6">
        <w:rPr>
          <w:rFonts w:eastAsia="Times New Roman"/>
          <w:color w:val="000000"/>
          <w:sz w:val="26"/>
          <w:szCs w:val="26"/>
        </w:rPr>
        <w:t>.</w:t>
      </w:r>
    </w:p>
    <w:p w:rsidR="003A75E6" w:rsidRPr="003A75E6" w:rsidRDefault="003A75E6" w:rsidP="003A75E6">
      <w:pPr>
        <w:ind w:right="72" w:firstLine="720"/>
        <w:textAlignment w:val="baseline"/>
        <w:rPr>
          <w:rFonts w:eastAsia="Times New Roman"/>
          <w:color w:val="000000"/>
          <w:sz w:val="26"/>
          <w:szCs w:val="26"/>
        </w:rPr>
      </w:pPr>
    </w:p>
    <w:p w:rsidR="00250720" w:rsidRPr="003A75E6" w:rsidRDefault="006A218A" w:rsidP="003A75E6">
      <w:pPr>
        <w:ind w:right="144" w:firstLine="720"/>
        <w:textAlignment w:val="baseline"/>
        <w:rPr>
          <w:rFonts w:eastAsia="Times New Roman"/>
          <w:color w:val="000000"/>
          <w:sz w:val="26"/>
          <w:szCs w:val="26"/>
        </w:rPr>
      </w:pPr>
      <w:r w:rsidRPr="003A75E6">
        <w:rPr>
          <w:rFonts w:eastAsia="Times New Roman"/>
          <w:color w:val="000000"/>
          <w:sz w:val="26"/>
          <w:szCs w:val="26"/>
        </w:rPr>
        <w:t>In its Comments, the Pa. PUC opposed the USTelecom Petition and in particular, its request for the Commission to forbear from applying the</w:t>
      </w:r>
      <w:r w:rsidR="006C4F53" w:rsidRPr="003A75E6">
        <w:rPr>
          <w:rFonts w:eastAsia="Times New Roman"/>
          <w:color w:val="000000"/>
          <w:sz w:val="26"/>
          <w:szCs w:val="26"/>
        </w:rPr>
        <w:t xml:space="preserve"> </w:t>
      </w:r>
      <w:r w:rsidR="000C5057" w:rsidRPr="003A75E6">
        <w:rPr>
          <w:rFonts w:eastAsia="Times New Roman"/>
          <w:color w:val="000000"/>
          <w:sz w:val="26"/>
          <w:szCs w:val="26"/>
        </w:rPr>
        <w:t>ILEC</w:t>
      </w:r>
      <w:r w:rsidRPr="003A75E6">
        <w:rPr>
          <w:rFonts w:eastAsia="Times New Roman"/>
          <w:color w:val="000000"/>
          <w:sz w:val="26"/>
          <w:szCs w:val="26"/>
        </w:rPr>
        <w:t xml:space="preserve">-specific unbundling and resale mandates in the Telecommunications Act of 1996 (TA-96).  </w:t>
      </w:r>
      <w:r w:rsidR="004A44BA" w:rsidRPr="003A75E6">
        <w:rPr>
          <w:rFonts w:eastAsia="Times New Roman"/>
          <w:color w:val="000000"/>
          <w:sz w:val="26"/>
          <w:szCs w:val="26"/>
        </w:rPr>
        <w:t xml:space="preserve">In these Reply Comments, the Pa. PUC reiterates its concerns about the impact of the USTelecom forbearance request on competition and maintains its position that USTelecom should be required to provide sufficiently granular data by specific company, territory, and market prior to </w:t>
      </w:r>
      <w:r w:rsidR="00C61D85" w:rsidRPr="003A75E6">
        <w:rPr>
          <w:rFonts w:eastAsia="Times New Roman"/>
          <w:color w:val="000000"/>
          <w:sz w:val="26"/>
          <w:szCs w:val="26"/>
        </w:rPr>
        <w:t>relinquishing</w:t>
      </w:r>
      <w:r w:rsidR="004A44BA" w:rsidRPr="003A75E6">
        <w:rPr>
          <w:rFonts w:eastAsia="Times New Roman"/>
          <w:color w:val="000000"/>
          <w:sz w:val="26"/>
          <w:szCs w:val="26"/>
        </w:rPr>
        <w:t xml:space="preserve"> unbundling or resale obligations currently imposed on ILECs.  </w:t>
      </w:r>
    </w:p>
    <w:p w:rsidR="00DE16A5" w:rsidRPr="003A75E6" w:rsidRDefault="00DE16A5" w:rsidP="003A75E6">
      <w:pPr>
        <w:ind w:right="144"/>
        <w:textAlignment w:val="baseline"/>
        <w:rPr>
          <w:rFonts w:eastAsia="Times New Roman"/>
          <w:b/>
          <w:color w:val="000000"/>
          <w:sz w:val="26"/>
          <w:szCs w:val="26"/>
        </w:rPr>
      </w:pPr>
    </w:p>
    <w:p w:rsidR="00412829" w:rsidRPr="003A75E6" w:rsidRDefault="00F30F8B" w:rsidP="003A75E6">
      <w:pPr>
        <w:ind w:right="144"/>
        <w:textAlignment w:val="baseline"/>
        <w:rPr>
          <w:rFonts w:eastAsia="Times New Roman"/>
          <w:b/>
          <w:color w:val="000000"/>
          <w:sz w:val="26"/>
          <w:szCs w:val="26"/>
        </w:rPr>
      </w:pPr>
      <w:r w:rsidRPr="003A75E6">
        <w:rPr>
          <w:rFonts w:eastAsia="Times New Roman"/>
          <w:b/>
          <w:color w:val="000000"/>
          <w:sz w:val="26"/>
          <w:szCs w:val="26"/>
        </w:rPr>
        <w:t>II.</w:t>
      </w:r>
      <w:r w:rsidRPr="003A75E6">
        <w:rPr>
          <w:rFonts w:eastAsia="Times New Roman"/>
          <w:b/>
          <w:color w:val="000000"/>
          <w:sz w:val="26"/>
          <w:szCs w:val="26"/>
        </w:rPr>
        <w:tab/>
        <w:t>Discussion</w:t>
      </w:r>
    </w:p>
    <w:p w:rsidR="00DE16A5" w:rsidRPr="003A75E6" w:rsidRDefault="001F415D" w:rsidP="003A75E6">
      <w:pPr>
        <w:pStyle w:val="ListParagraph"/>
        <w:numPr>
          <w:ilvl w:val="0"/>
          <w:numId w:val="7"/>
        </w:numPr>
        <w:spacing w:line="240" w:lineRule="auto"/>
        <w:ind w:left="1440" w:right="144" w:hanging="720"/>
        <w:textAlignment w:val="baseline"/>
        <w:rPr>
          <w:rFonts w:eastAsia="Times New Roman"/>
          <w:color w:val="000000"/>
          <w:sz w:val="26"/>
          <w:szCs w:val="26"/>
        </w:rPr>
      </w:pPr>
      <w:r w:rsidRPr="003A75E6">
        <w:rPr>
          <w:rFonts w:eastAsia="Times New Roman"/>
          <w:b/>
          <w:bCs/>
          <w:color w:val="000000"/>
          <w:sz w:val="26"/>
          <w:szCs w:val="26"/>
        </w:rPr>
        <w:t xml:space="preserve">The Pa. PUC Remains Concerned About the Impact of Granting </w:t>
      </w:r>
      <w:r w:rsidR="001E7F55" w:rsidRPr="003A75E6">
        <w:rPr>
          <w:rFonts w:eastAsia="Times New Roman"/>
          <w:b/>
          <w:bCs/>
          <w:color w:val="000000"/>
          <w:sz w:val="26"/>
          <w:szCs w:val="26"/>
        </w:rPr>
        <w:t>Forbearance</w:t>
      </w:r>
      <w:r w:rsidRPr="003A75E6">
        <w:rPr>
          <w:rFonts w:eastAsia="Times New Roman"/>
          <w:b/>
          <w:bCs/>
          <w:color w:val="000000"/>
          <w:sz w:val="26"/>
          <w:szCs w:val="26"/>
        </w:rPr>
        <w:t xml:space="preserve"> From the Statutory Unbundling Obligations on Competition.</w:t>
      </w:r>
    </w:p>
    <w:p w:rsidR="00DE16A5" w:rsidRPr="003A75E6" w:rsidRDefault="00DE16A5" w:rsidP="003A75E6">
      <w:pPr>
        <w:ind w:right="144" w:firstLine="720"/>
        <w:textAlignment w:val="baseline"/>
        <w:rPr>
          <w:rFonts w:eastAsia="Times New Roman"/>
          <w:color w:val="000000"/>
          <w:sz w:val="26"/>
          <w:szCs w:val="26"/>
        </w:rPr>
      </w:pPr>
    </w:p>
    <w:p w:rsidR="00F30F8B" w:rsidRDefault="0082283C" w:rsidP="003A75E6">
      <w:pPr>
        <w:ind w:right="144" w:firstLine="720"/>
        <w:textAlignment w:val="baseline"/>
        <w:rPr>
          <w:rFonts w:eastAsia="Times New Roman"/>
          <w:color w:val="000000"/>
          <w:sz w:val="26"/>
          <w:szCs w:val="26"/>
        </w:rPr>
      </w:pPr>
      <w:r w:rsidRPr="003A75E6">
        <w:rPr>
          <w:rFonts w:eastAsia="Times New Roman"/>
          <w:color w:val="000000"/>
          <w:sz w:val="26"/>
          <w:szCs w:val="26"/>
        </w:rPr>
        <w:t>The Pa</w:t>
      </w:r>
      <w:r w:rsidR="00442100" w:rsidRPr="003A75E6">
        <w:rPr>
          <w:rFonts w:eastAsia="Times New Roman"/>
          <w:color w:val="000000"/>
          <w:sz w:val="26"/>
          <w:szCs w:val="26"/>
        </w:rPr>
        <w:t xml:space="preserve">. </w:t>
      </w:r>
      <w:r w:rsidRPr="003A75E6">
        <w:rPr>
          <w:rFonts w:eastAsia="Times New Roman"/>
          <w:color w:val="000000"/>
          <w:sz w:val="26"/>
          <w:szCs w:val="26"/>
        </w:rPr>
        <w:t>PUC</w:t>
      </w:r>
      <w:r w:rsidR="00F30F8B" w:rsidRPr="003A75E6">
        <w:rPr>
          <w:rFonts w:eastAsia="Times New Roman"/>
          <w:color w:val="000000"/>
          <w:sz w:val="26"/>
          <w:szCs w:val="26"/>
        </w:rPr>
        <w:t xml:space="preserve"> note</w:t>
      </w:r>
      <w:r w:rsidR="00442100" w:rsidRPr="003A75E6">
        <w:rPr>
          <w:rFonts w:eastAsia="Times New Roman"/>
          <w:color w:val="000000"/>
          <w:sz w:val="26"/>
          <w:szCs w:val="26"/>
        </w:rPr>
        <w:t>s</w:t>
      </w:r>
      <w:r w:rsidR="00F30F8B" w:rsidRPr="003A75E6">
        <w:rPr>
          <w:rFonts w:eastAsia="Times New Roman"/>
          <w:color w:val="000000"/>
          <w:sz w:val="26"/>
          <w:szCs w:val="26"/>
        </w:rPr>
        <w:t xml:space="preserve"> that Verizon is </w:t>
      </w:r>
      <w:r w:rsidR="000704B9" w:rsidRPr="003A75E6">
        <w:rPr>
          <w:rFonts w:eastAsia="Times New Roman"/>
          <w:color w:val="000000"/>
          <w:sz w:val="26"/>
          <w:szCs w:val="26"/>
        </w:rPr>
        <w:t xml:space="preserve">one of the two </w:t>
      </w:r>
      <w:r w:rsidR="00F30F8B" w:rsidRPr="003A75E6">
        <w:rPr>
          <w:rFonts w:eastAsia="Times New Roman"/>
          <w:color w:val="000000"/>
          <w:sz w:val="26"/>
          <w:szCs w:val="26"/>
        </w:rPr>
        <w:t>commentator</w:t>
      </w:r>
      <w:r w:rsidR="000704B9" w:rsidRPr="003A75E6">
        <w:rPr>
          <w:rFonts w:eastAsia="Times New Roman"/>
          <w:color w:val="000000"/>
          <w:sz w:val="26"/>
          <w:szCs w:val="26"/>
        </w:rPr>
        <w:t>s</w:t>
      </w:r>
      <w:r w:rsidR="00F30F8B" w:rsidRPr="003A75E6">
        <w:rPr>
          <w:rFonts w:eastAsia="Times New Roman"/>
          <w:color w:val="000000"/>
          <w:sz w:val="26"/>
          <w:szCs w:val="26"/>
        </w:rPr>
        <w:t xml:space="preserve"> that filed </w:t>
      </w:r>
      <w:r w:rsidR="000704B9" w:rsidRPr="003A75E6">
        <w:rPr>
          <w:rFonts w:eastAsia="Times New Roman"/>
          <w:color w:val="000000"/>
          <w:sz w:val="26"/>
          <w:szCs w:val="26"/>
        </w:rPr>
        <w:t xml:space="preserve">initial </w:t>
      </w:r>
      <w:r w:rsidR="00F30F8B" w:rsidRPr="003A75E6">
        <w:rPr>
          <w:rFonts w:eastAsia="Times New Roman"/>
          <w:color w:val="000000"/>
          <w:sz w:val="26"/>
          <w:szCs w:val="26"/>
        </w:rPr>
        <w:t>comments in support of USTelecom</w:t>
      </w:r>
      <w:r w:rsidRPr="003A75E6">
        <w:rPr>
          <w:rFonts w:eastAsia="Times New Roman"/>
          <w:color w:val="000000"/>
          <w:sz w:val="26"/>
          <w:szCs w:val="26"/>
        </w:rPr>
        <w:t>’s</w:t>
      </w:r>
      <w:r w:rsidR="00F30F8B" w:rsidRPr="003A75E6">
        <w:rPr>
          <w:rFonts w:eastAsia="Times New Roman"/>
          <w:color w:val="000000"/>
          <w:sz w:val="26"/>
          <w:szCs w:val="26"/>
        </w:rPr>
        <w:t xml:space="preserve"> Petition.  </w:t>
      </w:r>
      <w:r w:rsidR="00442100" w:rsidRPr="003A75E6">
        <w:rPr>
          <w:rFonts w:eastAsia="Times New Roman"/>
          <w:color w:val="000000"/>
          <w:sz w:val="26"/>
          <w:szCs w:val="26"/>
        </w:rPr>
        <w:t xml:space="preserve">In an effort to prove that continued enforcement of the Section 251 unbundling </w:t>
      </w:r>
      <w:r w:rsidR="00B22E25" w:rsidRPr="003A75E6">
        <w:rPr>
          <w:rFonts w:eastAsia="Times New Roman"/>
          <w:color w:val="000000"/>
          <w:sz w:val="26"/>
          <w:szCs w:val="26"/>
        </w:rPr>
        <w:t xml:space="preserve">and resale </w:t>
      </w:r>
      <w:r w:rsidR="00442100" w:rsidRPr="003A75E6">
        <w:rPr>
          <w:rFonts w:eastAsia="Times New Roman"/>
          <w:color w:val="000000"/>
          <w:sz w:val="26"/>
          <w:szCs w:val="26"/>
        </w:rPr>
        <w:t>obligation</w:t>
      </w:r>
      <w:r w:rsidR="00B22E25" w:rsidRPr="003A75E6">
        <w:rPr>
          <w:rFonts w:eastAsia="Times New Roman"/>
          <w:color w:val="000000"/>
          <w:sz w:val="26"/>
          <w:szCs w:val="26"/>
        </w:rPr>
        <w:t>s</w:t>
      </w:r>
      <w:r w:rsidR="00442100" w:rsidRPr="003A75E6">
        <w:rPr>
          <w:rFonts w:eastAsia="Times New Roman"/>
          <w:color w:val="000000"/>
          <w:sz w:val="26"/>
          <w:szCs w:val="26"/>
        </w:rPr>
        <w:t xml:space="preserve"> is unnecessary to ensure charges and practices are not unjust or unreasonably discriminatory, </w:t>
      </w:r>
      <w:r w:rsidR="005D2767" w:rsidRPr="003A75E6">
        <w:rPr>
          <w:rFonts w:eastAsia="Times New Roman"/>
          <w:color w:val="000000"/>
          <w:sz w:val="26"/>
          <w:szCs w:val="26"/>
        </w:rPr>
        <w:t>Verizon states that commenters ha</w:t>
      </w:r>
      <w:r w:rsidR="00442100" w:rsidRPr="003A75E6">
        <w:rPr>
          <w:rFonts w:eastAsia="Times New Roman"/>
          <w:color w:val="000000"/>
          <w:sz w:val="26"/>
          <w:szCs w:val="26"/>
        </w:rPr>
        <w:t>d</w:t>
      </w:r>
      <w:r w:rsidR="005D2767" w:rsidRPr="003A75E6">
        <w:rPr>
          <w:rFonts w:eastAsia="Times New Roman"/>
          <w:color w:val="000000"/>
          <w:sz w:val="26"/>
          <w:szCs w:val="26"/>
        </w:rPr>
        <w:t xml:space="preserve"> incorrectly predicted in the past that curtailing regulations would hurt facilities-based competition.  Verizon Comments at 26.  Verizon states that </w:t>
      </w:r>
      <w:r w:rsidR="005D2767" w:rsidRPr="003A75E6">
        <w:rPr>
          <w:rFonts w:eastAsia="Times New Roman"/>
          <w:color w:val="000000"/>
          <w:sz w:val="26"/>
          <w:szCs w:val="26"/>
        </w:rPr>
        <w:lastRenderedPageBreak/>
        <w:t>facilities-based competition thrived after the Commission eliminated regulations that obligated ILECs to provide the UNE-Platform and line sharing for DSL</w:t>
      </w:r>
      <w:r w:rsidR="00442100" w:rsidRPr="003A75E6">
        <w:rPr>
          <w:rFonts w:eastAsia="Times New Roman"/>
          <w:color w:val="000000"/>
          <w:sz w:val="26"/>
          <w:szCs w:val="26"/>
        </w:rPr>
        <w:t xml:space="preserve"> in the </w:t>
      </w:r>
      <w:r w:rsidR="00442100" w:rsidRPr="003A75E6">
        <w:rPr>
          <w:rFonts w:eastAsia="Times New Roman"/>
          <w:i/>
          <w:color w:val="000000"/>
          <w:sz w:val="26"/>
          <w:szCs w:val="26"/>
        </w:rPr>
        <w:t>Triennial Review Remand Order</w:t>
      </w:r>
      <w:r w:rsidR="005D2767" w:rsidRPr="003A75E6">
        <w:rPr>
          <w:rFonts w:eastAsia="Times New Roman"/>
          <w:color w:val="000000"/>
          <w:sz w:val="26"/>
          <w:szCs w:val="26"/>
        </w:rPr>
        <w:t>.</w:t>
      </w:r>
      <w:r w:rsidR="00036E29" w:rsidRPr="003A75E6">
        <w:rPr>
          <w:rStyle w:val="FootnoteReference"/>
          <w:rFonts w:eastAsia="Times New Roman"/>
          <w:color w:val="000000"/>
          <w:sz w:val="26"/>
          <w:szCs w:val="26"/>
        </w:rPr>
        <w:footnoteReference w:id="2"/>
      </w:r>
      <w:r w:rsidR="005D2767" w:rsidRPr="003A75E6">
        <w:rPr>
          <w:rFonts w:eastAsia="Times New Roman"/>
          <w:color w:val="000000"/>
          <w:sz w:val="26"/>
          <w:szCs w:val="26"/>
        </w:rPr>
        <w:t xml:space="preserve">  </w:t>
      </w:r>
      <w:r w:rsidR="005D2767" w:rsidRPr="003A75E6">
        <w:rPr>
          <w:rFonts w:eastAsia="Times New Roman"/>
          <w:i/>
          <w:color w:val="000000"/>
          <w:sz w:val="26"/>
          <w:szCs w:val="26"/>
        </w:rPr>
        <w:t>Id</w:t>
      </w:r>
      <w:r w:rsidR="005D2767" w:rsidRPr="003A75E6">
        <w:rPr>
          <w:rFonts w:eastAsia="Times New Roman"/>
          <w:color w:val="000000"/>
          <w:sz w:val="26"/>
          <w:szCs w:val="26"/>
        </w:rPr>
        <w:t xml:space="preserve">.  </w:t>
      </w:r>
    </w:p>
    <w:p w:rsidR="003A75E6" w:rsidRPr="003A75E6" w:rsidRDefault="003A75E6" w:rsidP="003A75E6">
      <w:pPr>
        <w:ind w:right="144" w:firstLine="720"/>
        <w:textAlignment w:val="baseline"/>
        <w:rPr>
          <w:rFonts w:eastAsia="Times New Roman"/>
          <w:color w:val="000000"/>
          <w:sz w:val="26"/>
          <w:szCs w:val="26"/>
        </w:rPr>
      </w:pPr>
    </w:p>
    <w:p w:rsidR="00824E17" w:rsidRDefault="006A218A" w:rsidP="003A75E6">
      <w:pPr>
        <w:ind w:firstLine="720"/>
        <w:textAlignment w:val="baseline"/>
        <w:rPr>
          <w:color w:val="000000"/>
          <w:sz w:val="26"/>
          <w:szCs w:val="26"/>
        </w:rPr>
      </w:pPr>
      <w:r w:rsidRPr="003A75E6">
        <w:rPr>
          <w:color w:val="000000"/>
          <w:sz w:val="26"/>
          <w:szCs w:val="26"/>
        </w:rPr>
        <w:t xml:space="preserve">However, as discussed in </w:t>
      </w:r>
      <w:r w:rsidR="00B101B5" w:rsidRPr="003A75E6">
        <w:rPr>
          <w:color w:val="000000"/>
          <w:sz w:val="26"/>
          <w:szCs w:val="26"/>
        </w:rPr>
        <w:t xml:space="preserve">our comments, </w:t>
      </w:r>
      <w:r w:rsidRPr="003A75E6">
        <w:rPr>
          <w:color w:val="000000"/>
          <w:sz w:val="26"/>
          <w:szCs w:val="26"/>
        </w:rPr>
        <w:t xml:space="preserve">the Pa. PUC is concerned about the impact of </w:t>
      </w:r>
      <w:r w:rsidR="005A028A" w:rsidRPr="003A75E6">
        <w:rPr>
          <w:color w:val="000000"/>
          <w:sz w:val="26"/>
          <w:szCs w:val="26"/>
        </w:rPr>
        <w:t>the requested</w:t>
      </w:r>
      <w:r w:rsidRPr="003A75E6">
        <w:rPr>
          <w:color w:val="000000"/>
          <w:sz w:val="26"/>
          <w:szCs w:val="26"/>
        </w:rPr>
        <w:t xml:space="preserve"> f</w:t>
      </w:r>
      <w:r w:rsidR="00D06BDB" w:rsidRPr="003A75E6">
        <w:rPr>
          <w:color w:val="000000"/>
          <w:sz w:val="26"/>
          <w:szCs w:val="26"/>
        </w:rPr>
        <w:t>orbearance of the unbundling obligation</w:t>
      </w:r>
      <w:r w:rsidRPr="003A75E6">
        <w:rPr>
          <w:color w:val="000000"/>
          <w:sz w:val="26"/>
          <w:szCs w:val="26"/>
        </w:rPr>
        <w:t xml:space="preserve"> on competition</w:t>
      </w:r>
      <w:r w:rsidR="004B3547" w:rsidRPr="003A75E6">
        <w:rPr>
          <w:color w:val="000000"/>
          <w:sz w:val="26"/>
          <w:szCs w:val="26"/>
        </w:rPr>
        <w:t>, especially</w:t>
      </w:r>
      <w:r w:rsidR="00D50B8C" w:rsidRPr="003A75E6">
        <w:rPr>
          <w:color w:val="000000"/>
          <w:sz w:val="26"/>
          <w:szCs w:val="26"/>
        </w:rPr>
        <w:t xml:space="preserve"> when sufficient data has not been provided to support forbearance</w:t>
      </w:r>
      <w:r w:rsidR="00D06BDB" w:rsidRPr="003A75E6">
        <w:rPr>
          <w:color w:val="000000"/>
          <w:sz w:val="26"/>
          <w:szCs w:val="26"/>
        </w:rPr>
        <w:t xml:space="preserve">.  </w:t>
      </w:r>
      <w:r w:rsidR="00B101B5" w:rsidRPr="003A75E6">
        <w:rPr>
          <w:color w:val="000000"/>
          <w:sz w:val="26"/>
          <w:szCs w:val="26"/>
        </w:rPr>
        <w:t xml:space="preserve">Local exchange and exchange access services critically depend on maintenance and operation of the </w:t>
      </w:r>
      <w:r w:rsidR="003A75E6">
        <w:rPr>
          <w:color w:val="000000"/>
          <w:sz w:val="26"/>
          <w:szCs w:val="26"/>
        </w:rPr>
        <w:t>“</w:t>
      </w:r>
      <w:r w:rsidR="00B101B5" w:rsidRPr="003A75E6">
        <w:rPr>
          <w:color w:val="000000"/>
          <w:sz w:val="26"/>
          <w:szCs w:val="26"/>
        </w:rPr>
        <w:t>local loop,</w:t>
      </w:r>
      <w:r w:rsidR="003A75E6">
        <w:rPr>
          <w:color w:val="000000"/>
          <w:sz w:val="26"/>
          <w:szCs w:val="26"/>
        </w:rPr>
        <w:t>”</w:t>
      </w:r>
      <w:r w:rsidR="00B101B5" w:rsidRPr="003A75E6">
        <w:rPr>
          <w:color w:val="000000"/>
          <w:sz w:val="26"/>
          <w:szCs w:val="26"/>
        </w:rPr>
        <w:t xml:space="preserve"> which is the physical infrastructure through which wire-based telecommunications service is provided.  </w:t>
      </w:r>
      <w:r w:rsidR="00843A66" w:rsidRPr="003A75E6">
        <w:rPr>
          <w:color w:val="000000"/>
          <w:sz w:val="26"/>
          <w:szCs w:val="26"/>
        </w:rPr>
        <w:t xml:space="preserve">As long as </w:t>
      </w:r>
      <w:r w:rsidR="008C0911" w:rsidRPr="003A75E6">
        <w:rPr>
          <w:color w:val="000000"/>
          <w:sz w:val="26"/>
          <w:szCs w:val="26"/>
        </w:rPr>
        <w:t xml:space="preserve">an </w:t>
      </w:r>
      <w:r w:rsidR="00B101B5" w:rsidRPr="003A75E6">
        <w:rPr>
          <w:color w:val="000000"/>
          <w:sz w:val="26"/>
          <w:szCs w:val="26"/>
        </w:rPr>
        <w:t xml:space="preserve">ILEC </w:t>
      </w:r>
      <w:r w:rsidR="008C0911" w:rsidRPr="003A75E6">
        <w:rPr>
          <w:color w:val="000000"/>
          <w:sz w:val="26"/>
          <w:szCs w:val="26"/>
        </w:rPr>
        <w:t>can exert</w:t>
      </w:r>
      <w:r w:rsidR="00B101B5" w:rsidRPr="003A75E6">
        <w:rPr>
          <w:color w:val="000000"/>
          <w:sz w:val="26"/>
          <w:szCs w:val="26"/>
        </w:rPr>
        <w:t xml:space="preserve"> monopoly power over the provision of local loops, </w:t>
      </w:r>
      <w:r w:rsidR="00951213" w:rsidRPr="003A75E6">
        <w:rPr>
          <w:color w:val="000000"/>
          <w:sz w:val="26"/>
          <w:szCs w:val="26"/>
        </w:rPr>
        <w:t xml:space="preserve">it can </w:t>
      </w:r>
      <w:r w:rsidR="00B101B5" w:rsidRPr="003A75E6">
        <w:rPr>
          <w:color w:val="000000"/>
          <w:sz w:val="26"/>
          <w:szCs w:val="26"/>
        </w:rPr>
        <w:t xml:space="preserve">use </w:t>
      </w:r>
      <w:r w:rsidR="00951213" w:rsidRPr="003A75E6">
        <w:rPr>
          <w:color w:val="000000"/>
          <w:sz w:val="26"/>
          <w:szCs w:val="26"/>
        </w:rPr>
        <w:t>that</w:t>
      </w:r>
      <w:r w:rsidR="00B101B5" w:rsidRPr="003A75E6">
        <w:rPr>
          <w:color w:val="000000"/>
          <w:sz w:val="26"/>
          <w:szCs w:val="26"/>
        </w:rPr>
        <w:t xml:space="preserve"> local loop monopoly power to leverage its position in the telecommunications services market.  </w:t>
      </w:r>
      <w:r w:rsidR="00877B58" w:rsidRPr="003A75E6">
        <w:rPr>
          <w:color w:val="000000"/>
          <w:sz w:val="26"/>
          <w:szCs w:val="26"/>
        </w:rPr>
        <w:t>Without sufficient data to confirm the existence of competitive options in all areas where</w:t>
      </w:r>
      <w:r w:rsidR="008C6043" w:rsidRPr="003A75E6">
        <w:rPr>
          <w:color w:val="000000"/>
          <w:sz w:val="26"/>
          <w:szCs w:val="26"/>
        </w:rPr>
        <w:t xml:space="preserve"> USTelecom seeks forbearance, the local loop remains subject to such monopoly leverage. </w:t>
      </w:r>
    </w:p>
    <w:p w:rsidR="003A75E6" w:rsidRPr="003A75E6" w:rsidRDefault="003A75E6" w:rsidP="003A75E6">
      <w:pPr>
        <w:ind w:firstLine="720"/>
        <w:textAlignment w:val="baseline"/>
        <w:rPr>
          <w:color w:val="000000"/>
          <w:sz w:val="26"/>
          <w:szCs w:val="26"/>
        </w:rPr>
      </w:pPr>
    </w:p>
    <w:p w:rsidR="00B101B5" w:rsidRDefault="00B101B5" w:rsidP="003A75E6">
      <w:pPr>
        <w:ind w:firstLine="720"/>
        <w:textAlignment w:val="baseline"/>
        <w:rPr>
          <w:color w:val="000000"/>
          <w:sz w:val="26"/>
          <w:szCs w:val="26"/>
        </w:rPr>
      </w:pPr>
      <w:r w:rsidRPr="003A75E6">
        <w:rPr>
          <w:color w:val="000000"/>
          <w:sz w:val="26"/>
          <w:szCs w:val="26"/>
        </w:rPr>
        <w:t>Because the local loop is a natural monopoly or, at best, a duopoly given the prevalence of cable networks, the unbundling obligation imposed on ILECs allows small providers to access homes and businesses and provide service.  As many opposing commentators</w:t>
      </w:r>
      <w:r w:rsidR="00C72DA3" w:rsidRPr="003A75E6">
        <w:rPr>
          <w:color w:val="000000"/>
          <w:sz w:val="26"/>
          <w:szCs w:val="26"/>
        </w:rPr>
        <w:t>, including the PA PUC,</w:t>
      </w:r>
      <w:r w:rsidRPr="003A75E6">
        <w:rPr>
          <w:color w:val="000000"/>
          <w:sz w:val="26"/>
          <w:szCs w:val="26"/>
        </w:rPr>
        <w:t xml:space="preserve"> noted, wholesale access remains a critical bridge between today’s copper-based networks and the mainly fiber networks of the future and also facilitates bringing competition to those markets that are less naturally open to robust competition.</w:t>
      </w:r>
      <w:r w:rsidR="0079145A" w:rsidRPr="003A75E6">
        <w:rPr>
          <w:rStyle w:val="FootnoteReference"/>
          <w:color w:val="000000"/>
          <w:sz w:val="26"/>
          <w:szCs w:val="26"/>
        </w:rPr>
        <w:footnoteReference w:id="3"/>
      </w:r>
      <w:r w:rsidRPr="003A75E6">
        <w:rPr>
          <w:color w:val="000000"/>
          <w:sz w:val="26"/>
          <w:szCs w:val="26"/>
        </w:rPr>
        <w:t xml:space="preserve">  </w:t>
      </w:r>
    </w:p>
    <w:p w:rsidR="003A75E6" w:rsidRPr="003A75E6" w:rsidRDefault="003A75E6" w:rsidP="003A75E6">
      <w:pPr>
        <w:ind w:firstLine="720"/>
        <w:textAlignment w:val="baseline"/>
        <w:rPr>
          <w:color w:val="000000"/>
          <w:sz w:val="26"/>
          <w:szCs w:val="26"/>
        </w:rPr>
      </w:pPr>
    </w:p>
    <w:p w:rsidR="004B560A" w:rsidRDefault="00442100" w:rsidP="003A75E6">
      <w:pPr>
        <w:ind w:firstLine="720"/>
        <w:textAlignment w:val="baseline"/>
        <w:rPr>
          <w:color w:val="000000"/>
          <w:sz w:val="26"/>
          <w:szCs w:val="26"/>
        </w:rPr>
      </w:pPr>
      <w:r w:rsidRPr="003A75E6">
        <w:rPr>
          <w:color w:val="000000"/>
          <w:sz w:val="26"/>
          <w:szCs w:val="26"/>
        </w:rPr>
        <w:t xml:space="preserve">The clear purpose of TA-96, particularly the ILEC-specific unbundling requirements of Section 251(c)(3), is to prevent an ILEC from abusing its market power </w:t>
      </w:r>
      <w:r w:rsidRPr="003A75E6">
        <w:rPr>
          <w:color w:val="000000"/>
          <w:sz w:val="26"/>
          <w:szCs w:val="26"/>
        </w:rPr>
        <w:lastRenderedPageBreak/>
        <w:t xml:space="preserve">over the local loop to prevent competition.  </w:t>
      </w:r>
      <w:r w:rsidR="004B560A" w:rsidRPr="003A75E6">
        <w:rPr>
          <w:color w:val="000000"/>
          <w:sz w:val="26"/>
          <w:szCs w:val="26"/>
        </w:rPr>
        <w:t>Even Verizon acknowledged that Congress conceived the unbundling, resale, and long-distance provisions of the TA-96 to foster competition in wireline local and long-distance voice markets.  Verizon Comments at 4.</w:t>
      </w:r>
      <w:r w:rsidR="00B101B5" w:rsidRPr="003A75E6">
        <w:rPr>
          <w:color w:val="000000"/>
          <w:sz w:val="26"/>
          <w:szCs w:val="26"/>
        </w:rPr>
        <w:t xml:space="preserve">  </w:t>
      </w:r>
      <w:r w:rsidR="00E223DB" w:rsidRPr="003A75E6">
        <w:rPr>
          <w:color w:val="000000"/>
          <w:sz w:val="26"/>
          <w:szCs w:val="26"/>
        </w:rPr>
        <w:t>A</w:t>
      </w:r>
      <w:r w:rsidR="000D0E1E" w:rsidRPr="003A75E6">
        <w:rPr>
          <w:color w:val="000000"/>
          <w:sz w:val="26"/>
          <w:szCs w:val="26"/>
        </w:rPr>
        <w:t>ccording to</w:t>
      </w:r>
      <w:r w:rsidR="00B101B5" w:rsidRPr="003A75E6">
        <w:rPr>
          <w:color w:val="000000"/>
          <w:sz w:val="26"/>
          <w:szCs w:val="26"/>
        </w:rPr>
        <w:t xml:space="preserve"> </w:t>
      </w:r>
      <w:r w:rsidR="00E223DB" w:rsidRPr="003A75E6">
        <w:rPr>
          <w:color w:val="000000"/>
          <w:sz w:val="26"/>
          <w:szCs w:val="26"/>
        </w:rPr>
        <w:t>the opposing</w:t>
      </w:r>
      <w:r w:rsidR="00B101B5" w:rsidRPr="003A75E6">
        <w:rPr>
          <w:color w:val="000000"/>
          <w:sz w:val="26"/>
          <w:szCs w:val="26"/>
        </w:rPr>
        <w:t xml:space="preserve"> commenters, </w:t>
      </w:r>
      <w:r w:rsidR="005815D2" w:rsidRPr="003A75E6">
        <w:rPr>
          <w:color w:val="000000"/>
          <w:sz w:val="26"/>
          <w:szCs w:val="26"/>
        </w:rPr>
        <w:t xml:space="preserve">the </w:t>
      </w:r>
      <w:r w:rsidR="00B101B5" w:rsidRPr="003A75E6">
        <w:rPr>
          <w:color w:val="000000"/>
          <w:sz w:val="26"/>
          <w:szCs w:val="26"/>
        </w:rPr>
        <w:t xml:space="preserve">evidence indicates that CLECs continue to rely on UNEs to provide </w:t>
      </w:r>
      <w:r w:rsidR="00E223DB" w:rsidRPr="003A75E6">
        <w:rPr>
          <w:color w:val="000000"/>
          <w:sz w:val="26"/>
          <w:szCs w:val="26"/>
        </w:rPr>
        <w:t xml:space="preserve">competitive </w:t>
      </w:r>
      <w:r w:rsidR="00B101B5" w:rsidRPr="003A75E6">
        <w:rPr>
          <w:color w:val="000000"/>
          <w:sz w:val="26"/>
          <w:szCs w:val="26"/>
        </w:rPr>
        <w:t xml:space="preserve">voice and data service </w:t>
      </w:r>
      <w:r w:rsidR="00E223DB" w:rsidRPr="003A75E6">
        <w:rPr>
          <w:color w:val="000000"/>
          <w:sz w:val="26"/>
          <w:szCs w:val="26"/>
        </w:rPr>
        <w:t xml:space="preserve">alternatives </w:t>
      </w:r>
      <w:r w:rsidR="00B101B5" w:rsidRPr="003A75E6">
        <w:rPr>
          <w:color w:val="000000"/>
          <w:sz w:val="26"/>
          <w:szCs w:val="26"/>
        </w:rPr>
        <w:t>to residential customers, including many in underserved markets.</w:t>
      </w:r>
      <w:r w:rsidR="00B101B5" w:rsidRPr="003A75E6">
        <w:rPr>
          <w:rStyle w:val="FootnoteReference"/>
          <w:color w:val="000000"/>
          <w:sz w:val="26"/>
          <w:szCs w:val="26"/>
        </w:rPr>
        <w:footnoteReference w:id="4"/>
      </w:r>
    </w:p>
    <w:p w:rsidR="003A75E6" w:rsidRPr="003A75E6" w:rsidRDefault="003A75E6" w:rsidP="003A75E6">
      <w:pPr>
        <w:ind w:firstLine="720"/>
        <w:textAlignment w:val="baseline"/>
        <w:rPr>
          <w:color w:val="000000"/>
          <w:sz w:val="26"/>
          <w:szCs w:val="26"/>
        </w:rPr>
      </w:pPr>
    </w:p>
    <w:p w:rsidR="009F4AAE" w:rsidRDefault="004B560A" w:rsidP="003A75E6">
      <w:pPr>
        <w:ind w:firstLine="720"/>
        <w:textAlignment w:val="baseline"/>
        <w:rPr>
          <w:rFonts w:eastAsia="Times New Roman"/>
          <w:color w:val="000000"/>
          <w:spacing w:val="-1"/>
          <w:sz w:val="26"/>
          <w:szCs w:val="26"/>
        </w:rPr>
      </w:pPr>
      <w:r w:rsidRPr="003A75E6">
        <w:rPr>
          <w:color w:val="000000"/>
          <w:sz w:val="26"/>
          <w:szCs w:val="26"/>
        </w:rPr>
        <w:t xml:space="preserve">Moreover, as local providers with considerable market presence over the local loop, </w:t>
      </w:r>
      <w:r w:rsidR="00051144" w:rsidRPr="003A75E6">
        <w:rPr>
          <w:color w:val="000000"/>
          <w:sz w:val="26"/>
          <w:szCs w:val="26"/>
        </w:rPr>
        <w:t xml:space="preserve">that Pa. PUC is concerned that </w:t>
      </w:r>
      <w:r w:rsidRPr="003A75E6">
        <w:rPr>
          <w:color w:val="000000"/>
          <w:sz w:val="26"/>
          <w:szCs w:val="26"/>
        </w:rPr>
        <w:t xml:space="preserve">the ILECs may impose significant price increases </w:t>
      </w:r>
      <w:r w:rsidR="002C66A8" w:rsidRPr="003A75E6">
        <w:rPr>
          <w:color w:val="000000"/>
          <w:sz w:val="26"/>
          <w:szCs w:val="26"/>
        </w:rPr>
        <w:t xml:space="preserve">once </w:t>
      </w:r>
      <w:r w:rsidRPr="003A75E6">
        <w:rPr>
          <w:color w:val="000000"/>
          <w:sz w:val="26"/>
          <w:szCs w:val="26"/>
        </w:rPr>
        <w:t xml:space="preserve">forbearance </w:t>
      </w:r>
      <w:r w:rsidR="002C66A8" w:rsidRPr="003A75E6">
        <w:rPr>
          <w:color w:val="000000"/>
          <w:sz w:val="26"/>
          <w:szCs w:val="26"/>
        </w:rPr>
        <w:t xml:space="preserve">is </w:t>
      </w:r>
      <w:r w:rsidRPr="003A75E6">
        <w:rPr>
          <w:color w:val="000000"/>
          <w:sz w:val="26"/>
          <w:szCs w:val="26"/>
        </w:rPr>
        <w:t xml:space="preserve">granted </w:t>
      </w:r>
      <w:r w:rsidR="002C66A8" w:rsidRPr="003A75E6">
        <w:rPr>
          <w:color w:val="000000"/>
          <w:sz w:val="26"/>
          <w:szCs w:val="26"/>
        </w:rPr>
        <w:t xml:space="preserve">even if they pledge not to do so at this time.  </w:t>
      </w:r>
      <w:r w:rsidR="001629F5" w:rsidRPr="003A75E6">
        <w:rPr>
          <w:color w:val="000000"/>
          <w:sz w:val="26"/>
          <w:szCs w:val="26"/>
        </w:rPr>
        <w:t xml:space="preserve">Granting the forbearance request for unbundling would permit ILECs to continue to offer service over legacy copper networks themselves and provide services to business customers but </w:t>
      </w:r>
      <w:r w:rsidR="005A028A" w:rsidRPr="003A75E6">
        <w:rPr>
          <w:color w:val="000000"/>
          <w:sz w:val="26"/>
          <w:szCs w:val="26"/>
        </w:rPr>
        <w:t>not via state commission-approved Interconnection Agreements and not at TELRIC rates</w:t>
      </w:r>
      <w:r w:rsidR="00051144" w:rsidRPr="003A75E6">
        <w:rPr>
          <w:sz w:val="26"/>
          <w:szCs w:val="26"/>
        </w:rPr>
        <w:t xml:space="preserve">  </w:t>
      </w:r>
      <w:r w:rsidR="00281624" w:rsidRPr="003A75E6">
        <w:rPr>
          <w:sz w:val="26"/>
          <w:szCs w:val="26"/>
        </w:rPr>
        <w:t xml:space="preserve">USTelecom has already “tipped its hand” and indicated that its members </w:t>
      </w:r>
      <w:r w:rsidR="00281624" w:rsidRPr="003A75E6">
        <w:rPr>
          <w:rFonts w:eastAsia="Times New Roman"/>
          <w:color w:val="000000"/>
          <w:spacing w:val="-1"/>
          <w:sz w:val="26"/>
          <w:szCs w:val="26"/>
        </w:rPr>
        <w:t xml:space="preserve">would take “new orders for service” (presumably for wholesale interconnection and UNEs) via commercial negotiations or tariffed services where available.  Petition at </w:t>
      </w:r>
      <w:r w:rsidR="001E7F55" w:rsidRPr="003A75E6">
        <w:rPr>
          <w:rFonts w:eastAsia="Times New Roman"/>
          <w:color w:val="000000"/>
          <w:spacing w:val="-1"/>
          <w:sz w:val="26"/>
          <w:szCs w:val="26"/>
        </w:rPr>
        <w:t>44</w:t>
      </w:r>
      <w:r w:rsidR="00281624" w:rsidRPr="003A75E6">
        <w:rPr>
          <w:rFonts w:eastAsia="Times New Roman"/>
          <w:color w:val="000000"/>
          <w:spacing w:val="-1"/>
          <w:sz w:val="26"/>
          <w:szCs w:val="26"/>
        </w:rPr>
        <w:t xml:space="preserve">.  </w:t>
      </w:r>
      <w:r w:rsidR="009F4AAE" w:rsidRPr="003A75E6">
        <w:rPr>
          <w:rFonts w:eastAsia="Times New Roman"/>
          <w:color w:val="000000"/>
          <w:spacing w:val="-1"/>
          <w:sz w:val="26"/>
          <w:szCs w:val="26"/>
        </w:rPr>
        <w:t>UST</w:t>
      </w:r>
      <w:r w:rsidR="001629F5" w:rsidRPr="003A75E6">
        <w:rPr>
          <w:rFonts w:eastAsia="Times New Roman"/>
          <w:color w:val="000000"/>
          <w:spacing w:val="-1"/>
          <w:sz w:val="26"/>
          <w:szCs w:val="26"/>
        </w:rPr>
        <w:t>elecom</w:t>
      </w:r>
      <w:r w:rsidR="009F4AAE" w:rsidRPr="003A75E6">
        <w:rPr>
          <w:rFonts w:eastAsia="Times New Roman"/>
          <w:color w:val="000000"/>
          <w:spacing w:val="-1"/>
          <w:sz w:val="26"/>
          <w:szCs w:val="26"/>
        </w:rPr>
        <w:t xml:space="preserve">’s suggested </w:t>
      </w:r>
      <w:r w:rsidR="001629F5" w:rsidRPr="003A75E6">
        <w:rPr>
          <w:rFonts w:eastAsia="Times New Roman"/>
          <w:color w:val="000000"/>
          <w:spacing w:val="-1"/>
          <w:sz w:val="26"/>
          <w:szCs w:val="26"/>
        </w:rPr>
        <w:t xml:space="preserve">price </w:t>
      </w:r>
      <w:r w:rsidR="009F4AAE" w:rsidRPr="003A75E6">
        <w:rPr>
          <w:rFonts w:eastAsia="Times New Roman"/>
          <w:color w:val="000000"/>
          <w:spacing w:val="-1"/>
          <w:sz w:val="26"/>
          <w:szCs w:val="26"/>
        </w:rPr>
        <w:t xml:space="preserve">increase for the ILECs’ “embedded base of UNEs by up to 15 percent on the effective date of the grant of forbearance” </w:t>
      </w:r>
      <w:r w:rsidR="00051144" w:rsidRPr="003A75E6">
        <w:rPr>
          <w:rFonts w:eastAsia="Times New Roman"/>
          <w:color w:val="000000"/>
          <w:spacing w:val="-1"/>
          <w:sz w:val="26"/>
          <w:szCs w:val="26"/>
        </w:rPr>
        <w:t>is a potential barrier</w:t>
      </w:r>
      <w:r w:rsidR="009F4AAE" w:rsidRPr="003A75E6">
        <w:rPr>
          <w:rFonts w:eastAsia="Times New Roman"/>
          <w:color w:val="000000"/>
          <w:spacing w:val="-1"/>
          <w:sz w:val="26"/>
          <w:szCs w:val="26"/>
        </w:rPr>
        <w:t xml:space="preserve"> for competitive access and vibrant competition</w:t>
      </w:r>
      <w:r w:rsidR="00051144" w:rsidRPr="003A75E6">
        <w:rPr>
          <w:rFonts w:eastAsia="Times New Roman"/>
          <w:color w:val="000000"/>
          <w:spacing w:val="-1"/>
          <w:sz w:val="26"/>
          <w:szCs w:val="26"/>
        </w:rPr>
        <w:t>,</w:t>
      </w:r>
      <w:r w:rsidR="009F4AAE" w:rsidRPr="003A75E6">
        <w:rPr>
          <w:rFonts w:eastAsia="Times New Roman"/>
          <w:color w:val="000000"/>
          <w:spacing w:val="-1"/>
          <w:sz w:val="26"/>
          <w:szCs w:val="26"/>
        </w:rPr>
        <w:t xml:space="preserve"> which violates the pro-competitive goals of TA-96 and offset</w:t>
      </w:r>
      <w:r w:rsidR="00B67BD7" w:rsidRPr="003A75E6">
        <w:rPr>
          <w:rFonts w:eastAsia="Times New Roman"/>
          <w:color w:val="000000"/>
          <w:spacing w:val="-1"/>
          <w:sz w:val="26"/>
          <w:szCs w:val="26"/>
        </w:rPr>
        <w:t>s</w:t>
      </w:r>
      <w:r w:rsidR="009F4AAE" w:rsidRPr="003A75E6">
        <w:rPr>
          <w:rFonts w:eastAsia="Times New Roman"/>
          <w:color w:val="000000"/>
          <w:spacing w:val="-1"/>
          <w:sz w:val="26"/>
          <w:szCs w:val="26"/>
        </w:rPr>
        <w:t xml:space="preserve"> and nullifies the competitive aspect of the current telecommunication</w:t>
      </w:r>
      <w:r w:rsidR="001629F5" w:rsidRPr="003A75E6">
        <w:rPr>
          <w:rFonts w:eastAsia="Times New Roman"/>
          <w:color w:val="000000"/>
          <w:spacing w:val="-1"/>
          <w:sz w:val="26"/>
          <w:szCs w:val="26"/>
        </w:rPr>
        <w:t>s</w:t>
      </w:r>
      <w:r w:rsidR="009F4AAE" w:rsidRPr="003A75E6">
        <w:rPr>
          <w:rFonts w:eastAsia="Times New Roman"/>
          <w:color w:val="000000"/>
          <w:spacing w:val="-1"/>
          <w:sz w:val="26"/>
          <w:szCs w:val="26"/>
        </w:rPr>
        <w:t xml:space="preserve"> market.</w:t>
      </w:r>
    </w:p>
    <w:p w:rsidR="003A75E6" w:rsidRPr="003A75E6" w:rsidRDefault="003A75E6" w:rsidP="003A75E6">
      <w:pPr>
        <w:ind w:firstLine="720"/>
        <w:textAlignment w:val="baseline"/>
        <w:rPr>
          <w:sz w:val="26"/>
          <w:szCs w:val="26"/>
        </w:rPr>
      </w:pPr>
    </w:p>
    <w:p w:rsidR="00051144" w:rsidRPr="003A75E6" w:rsidRDefault="009F4AAE" w:rsidP="003A75E6">
      <w:pPr>
        <w:ind w:firstLine="720"/>
        <w:textAlignment w:val="baseline"/>
        <w:rPr>
          <w:color w:val="000000"/>
          <w:sz w:val="26"/>
          <w:szCs w:val="26"/>
        </w:rPr>
      </w:pPr>
      <w:r w:rsidRPr="003A75E6">
        <w:rPr>
          <w:rFonts w:eastAsia="Times New Roman"/>
          <w:color w:val="000000"/>
          <w:spacing w:val="-1"/>
          <w:sz w:val="26"/>
          <w:szCs w:val="26"/>
        </w:rPr>
        <w:t>T</w:t>
      </w:r>
      <w:r w:rsidR="00281624" w:rsidRPr="003A75E6">
        <w:rPr>
          <w:rFonts w:eastAsia="Times New Roman"/>
          <w:color w:val="000000"/>
          <w:spacing w:val="-1"/>
          <w:sz w:val="26"/>
          <w:szCs w:val="26"/>
        </w:rPr>
        <w:t xml:space="preserve">he </w:t>
      </w:r>
      <w:r w:rsidR="005A028A" w:rsidRPr="003A75E6">
        <w:rPr>
          <w:rFonts w:eastAsia="Times New Roman"/>
          <w:color w:val="000000"/>
          <w:spacing w:val="-1"/>
          <w:sz w:val="26"/>
          <w:szCs w:val="26"/>
        </w:rPr>
        <w:t xml:space="preserve">Pa. PUC is concerned that the </w:t>
      </w:r>
      <w:r w:rsidR="00281624" w:rsidRPr="003A75E6">
        <w:rPr>
          <w:rFonts w:eastAsia="Times New Roman"/>
          <w:color w:val="000000"/>
          <w:spacing w:val="-1"/>
          <w:sz w:val="26"/>
          <w:szCs w:val="26"/>
        </w:rPr>
        <w:t xml:space="preserve">use of non-cost based pricing for UNEs, i.e., pricing that will not follow the Commission’s long-established TELRIC standard that has been implemented by the states often through live evidentiary adjudications, </w:t>
      </w:r>
      <w:r w:rsidRPr="003A75E6">
        <w:rPr>
          <w:rFonts w:eastAsia="Times New Roman"/>
          <w:color w:val="000000"/>
          <w:spacing w:val="-1"/>
          <w:sz w:val="26"/>
          <w:szCs w:val="26"/>
        </w:rPr>
        <w:t>will have a detrimental impact on competitive access</w:t>
      </w:r>
      <w:r w:rsidR="00281624" w:rsidRPr="003A75E6">
        <w:rPr>
          <w:rFonts w:eastAsia="Times New Roman"/>
          <w:color w:val="000000"/>
          <w:spacing w:val="-1"/>
          <w:sz w:val="26"/>
          <w:szCs w:val="26"/>
        </w:rPr>
        <w:t>.</w:t>
      </w:r>
      <w:r w:rsidRPr="003A75E6">
        <w:rPr>
          <w:rFonts w:eastAsia="Times New Roman"/>
          <w:color w:val="000000"/>
          <w:spacing w:val="-1"/>
          <w:sz w:val="26"/>
          <w:szCs w:val="26"/>
        </w:rPr>
        <w:t xml:space="preserve">  </w:t>
      </w:r>
      <w:r w:rsidR="00281624" w:rsidRPr="003A75E6">
        <w:rPr>
          <w:rFonts w:eastAsia="Times New Roman"/>
          <w:color w:val="000000"/>
          <w:spacing w:val="-1"/>
          <w:sz w:val="26"/>
          <w:szCs w:val="26"/>
        </w:rPr>
        <w:t xml:space="preserve">Pursuant to Section 252 of TA-96, the states </w:t>
      </w:r>
      <w:r w:rsidR="00281624" w:rsidRPr="003A75E6">
        <w:rPr>
          <w:rFonts w:eastAsia="Times New Roman"/>
          <w:color w:val="000000"/>
          <w:spacing w:val="-1"/>
          <w:sz w:val="26"/>
          <w:szCs w:val="26"/>
        </w:rPr>
        <w:lastRenderedPageBreak/>
        <w:t xml:space="preserve">adjudicate the rate setting for UNEs in accordance with the TELRIC standard </w:t>
      </w:r>
      <w:r w:rsidR="002F1A8E" w:rsidRPr="003A75E6">
        <w:rPr>
          <w:rFonts w:eastAsia="Times New Roman"/>
          <w:color w:val="000000"/>
          <w:spacing w:val="-1"/>
          <w:sz w:val="26"/>
          <w:szCs w:val="26"/>
        </w:rPr>
        <w:t xml:space="preserve">established by </w:t>
      </w:r>
      <w:r w:rsidR="00281624" w:rsidRPr="003A75E6">
        <w:rPr>
          <w:rFonts w:eastAsia="Times New Roman"/>
          <w:color w:val="000000"/>
          <w:spacing w:val="-1"/>
          <w:sz w:val="26"/>
          <w:szCs w:val="26"/>
        </w:rPr>
        <w:t xml:space="preserve">the </w:t>
      </w:r>
      <w:r w:rsidR="005D2641" w:rsidRPr="003A75E6">
        <w:rPr>
          <w:rFonts w:eastAsia="Times New Roman"/>
          <w:color w:val="000000"/>
          <w:spacing w:val="-1"/>
          <w:sz w:val="26"/>
          <w:szCs w:val="26"/>
        </w:rPr>
        <w:t xml:space="preserve">Commission </w:t>
      </w:r>
      <w:r w:rsidR="002F1A8E" w:rsidRPr="003A75E6">
        <w:rPr>
          <w:rFonts w:eastAsia="Times New Roman"/>
          <w:color w:val="000000"/>
          <w:spacing w:val="-1"/>
          <w:sz w:val="26"/>
          <w:szCs w:val="26"/>
        </w:rPr>
        <w:t xml:space="preserve">and upheld by </w:t>
      </w:r>
      <w:r w:rsidR="00281624" w:rsidRPr="003A75E6">
        <w:rPr>
          <w:rFonts w:eastAsia="Times New Roman"/>
          <w:color w:val="000000"/>
          <w:spacing w:val="-1"/>
          <w:sz w:val="26"/>
          <w:szCs w:val="26"/>
        </w:rPr>
        <w:t>the U.S. Supreme Court.</w:t>
      </w:r>
      <w:r w:rsidR="004D5391" w:rsidRPr="003A75E6">
        <w:rPr>
          <w:rStyle w:val="FootnoteReference"/>
          <w:rFonts w:eastAsia="Times New Roman"/>
          <w:color w:val="000000"/>
          <w:spacing w:val="-1"/>
          <w:sz w:val="26"/>
          <w:szCs w:val="26"/>
        </w:rPr>
        <w:footnoteReference w:id="5"/>
      </w:r>
      <w:r w:rsidR="00281624" w:rsidRPr="003A75E6">
        <w:rPr>
          <w:rFonts w:eastAsia="Times New Roman"/>
          <w:color w:val="000000"/>
          <w:spacing w:val="-1"/>
          <w:sz w:val="26"/>
          <w:szCs w:val="26"/>
        </w:rPr>
        <w:t xml:space="preserve">  USTelecom </w:t>
      </w:r>
      <w:r w:rsidR="004D030D" w:rsidRPr="003A75E6">
        <w:rPr>
          <w:rFonts w:eastAsia="Times New Roman"/>
          <w:color w:val="000000"/>
          <w:spacing w:val="-1"/>
          <w:sz w:val="26"/>
          <w:szCs w:val="26"/>
        </w:rPr>
        <w:t>provides no</w:t>
      </w:r>
      <w:r w:rsidR="00281624" w:rsidRPr="003A75E6">
        <w:rPr>
          <w:rFonts w:eastAsia="Times New Roman"/>
          <w:color w:val="000000"/>
          <w:spacing w:val="-1"/>
          <w:sz w:val="26"/>
          <w:szCs w:val="26"/>
        </w:rPr>
        <w:t xml:space="preserve"> justification for this </w:t>
      </w:r>
      <w:r w:rsidR="00A449F2" w:rsidRPr="003A75E6">
        <w:rPr>
          <w:rFonts w:eastAsia="Times New Roman"/>
          <w:color w:val="000000"/>
          <w:spacing w:val="-1"/>
          <w:sz w:val="26"/>
          <w:szCs w:val="26"/>
        </w:rPr>
        <w:t>proposed</w:t>
      </w:r>
      <w:r w:rsidR="00281624" w:rsidRPr="003A75E6">
        <w:rPr>
          <w:rFonts w:eastAsia="Times New Roman"/>
          <w:color w:val="000000"/>
          <w:spacing w:val="-1"/>
          <w:sz w:val="26"/>
          <w:szCs w:val="26"/>
        </w:rPr>
        <w:t xml:space="preserve"> “+15%” </w:t>
      </w:r>
      <w:r w:rsidR="00A449F2" w:rsidRPr="003A75E6">
        <w:rPr>
          <w:rFonts w:eastAsia="Times New Roman"/>
          <w:color w:val="000000"/>
          <w:spacing w:val="-1"/>
          <w:sz w:val="26"/>
          <w:szCs w:val="26"/>
        </w:rPr>
        <w:t xml:space="preserve">nationwide UNE rate </w:t>
      </w:r>
      <w:r w:rsidR="00281624" w:rsidRPr="003A75E6">
        <w:rPr>
          <w:rFonts w:eastAsia="Times New Roman"/>
          <w:color w:val="000000"/>
          <w:spacing w:val="-1"/>
          <w:sz w:val="26"/>
          <w:szCs w:val="26"/>
        </w:rPr>
        <w:t xml:space="preserve">increase.  </w:t>
      </w:r>
      <w:r w:rsidR="00BA5EE6" w:rsidRPr="003A75E6">
        <w:rPr>
          <w:rFonts w:eastAsia="Times New Roman"/>
          <w:color w:val="000000"/>
          <w:spacing w:val="-1"/>
          <w:sz w:val="26"/>
          <w:szCs w:val="26"/>
        </w:rPr>
        <w:t>Lacking affirmative support, the proposed across-the-board rate increase also runs counter</w:t>
      </w:r>
      <w:r w:rsidR="0099512C" w:rsidRPr="003A75E6">
        <w:rPr>
          <w:rFonts w:eastAsia="Times New Roman"/>
          <w:color w:val="000000"/>
          <w:spacing w:val="-1"/>
          <w:sz w:val="26"/>
          <w:szCs w:val="26"/>
        </w:rPr>
        <w:t xml:space="preserve"> to the fact </w:t>
      </w:r>
      <w:r w:rsidR="00281624" w:rsidRPr="003A75E6">
        <w:rPr>
          <w:rFonts w:eastAsia="Times New Roman"/>
          <w:color w:val="000000"/>
          <w:spacing w:val="-1"/>
          <w:sz w:val="26"/>
          <w:szCs w:val="26"/>
        </w:rPr>
        <w:t xml:space="preserve">that ever evolving efficiencies in telecommunications and broadband technologies may contribute to rate stability or even reductions in the TELRIC-driven costs and rates that are utilized in wholesale interconnection arrangements.  </w:t>
      </w:r>
      <w:r w:rsidR="00B67BD7" w:rsidRPr="003A75E6">
        <w:rPr>
          <w:rFonts w:eastAsia="Times New Roman"/>
          <w:color w:val="000000"/>
          <w:spacing w:val="-1"/>
          <w:sz w:val="26"/>
          <w:szCs w:val="26"/>
        </w:rPr>
        <w:t>Moreover</w:t>
      </w:r>
      <w:r w:rsidR="00281624" w:rsidRPr="003A75E6">
        <w:rPr>
          <w:rFonts w:eastAsia="Times New Roman"/>
          <w:color w:val="000000"/>
          <w:spacing w:val="-1"/>
          <w:sz w:val="26"/>
          <w:szCs w:val="26"/>
        </w:rPr>
        <w:t xml:space="preserve">, </w:t>
      </w:r>
      <w:r w:rsidR="0099512C" w:rsidRPr="003A75E6">
        <w:rPr>
          <w:rFonts w:eastAsia="Times New Roman"/>
          <w:color w:val="000000"/>
          <w:spacing w:val="-1"/>
          <w:sz w:val="26"/>
          <w:szCs w:val="26"/>
        </w:rPr>
        <w:t xml:space="preserve">existing </w:t>
      </w:r>
      <w:r w:rsidR="00281624" w:rsidRPr="003A75E6">
        <w:rPr>
          <w:rFonts w:eastAsia="Times New Roman"/>
          <w:color w:val="000000"/>
          <w:spacing w:val="-1"/>
          <w:sz w:val="26"/>
          <w:szCs w:val="26"/>
        </w:rPr>
        <w:t>TELRIC-based UNE costs and rates are not uniform across the nation as it has been clearly demonstrated after the implementation of TA-96 by the states.</w:t>
      </w:r>
      <w:r w:rsidR="00104175" w:rsidRPr="003A75E6">
        <w:rPr>
          <w:rStyle w:val="FootnoteReference"/>
          <w:rFonts w:eastAsia="Times New Roman"/>
          <w:color w:val="000000"/>
          <w:spacing w:val="-1"/>
          <w:sz w:val="26"/>
          <w:szCs w:val="26"/>
        </w:rPr>
        <w:footnoteReference w:id="6"/>
      </w:r>
    </w:p>
    <w:p w:rsidR="00281624" w:rsidRPr="003A75E6" w:rsidRDefault="00281624" w:rsidP="003A75E6">
      <w:pPr>
        <w:ind w:firstLine="720"/>
        <w:textAlignment w:val="baseline"/>
        <w:rPr>
          <w:rFonts w:eastAsia="Times New Roman"/>
          <w:color w:val="000000"/>
          <w:spacing w:val="-1"/>
          <w:sz w:val="26"/>
          <w:szCs w:val="26"/>
        </w:rPr>
      </w:pPr>
    </w:p>
    <w:p w:rsidR="00D40E06" w:rsidRPr="003A75E6" w:rsidRDefault="00051144" w:rsidP="003A75E6">
      <w:pPr>
        <w:ind w:firstLine="720"/>
        <w:textAlignment w:val="baseline"/>
        <w:rPr>
          <w:rFonts w:eastAsia="Times New Roman"/>
          <w:color w:val="000000"/>
          <w:spacing w:val="-1"/>
          <w:sz w:val="26"/>
          <w:szCs w:val="26"/>
        </w:rPr>
      </w:pPr>
      <w:r w:rsidRPr="003A75E6">
        <w:rPr>
          <w:rFonts w:eastAsia="Times New Roman"/>
          <w:color w:val="000000"/>
          <w:spacing w:val="-1"/>
          <w:sz w:val="26"/>
          <w:szCs w:val="26"/>
        </w:rPr>
        <w:t xml:space="preserve">With forbearance from the unbundling obligation, the Pa. PUC is concerned that </w:t>
      </w:r>
      <w:r w:rsidRPr="003A75E6">
        <w:rPr>
          <w:color w:val="000000"/>
          <w:sz w:val="26"/>
          <w:szCs w:val="26"/>
        </w:rPr>
        <w:t xml:space="preserve">competitors will either have to build out a redundant network and last mile facility or pay unreasonable prices </w:t>
      </w:r>
      <w:r w:rsidR="00125822" w:rsidRPr="003A75E6">
        <w:rPr>
          <w:color w:val="000000"/>
          <w:sz w:val="26"/>
          <w:szCs w:val="26"/>
        </w:rPr>
        <w:t>charged by</w:t>
      </w:r>
      <w:r w:rsidRPr="003A75E6">
        <w:rPr>
          <w:color w:val="000000"/>
          <w:sz w:val="26"/>
          <w:szCs w:val="26"/>
        </w:rPr>
        <w:t xml:space="preserve"> ILECs and cable companies to provide business data services and/or voice service to </w:t>
      </w:r>
      <w:r w:rsidR="00125822" w:rsidRPr="003A75E6">
        <w:rPr>
          <w:color w:val="000000"/>
          <w:sz w:val="26"/>
          <w:szCs w:val="26"/>
        </w:rPr>
        <w:t xml:space="preserve">end-user </w:t>
      </w:r>
      <w:r w:rsidRPr="003A75E6">
        <w:rPr>
          <w:color w:val="000000"/>
          <w:sz w:val="26"/>
          <w:szCs w:val="26"/>
        </w:rPr>
        <w:t xml:space="preserve">customers.  </w:t>
      </w:r>
      <w:r w:rsidR="004A44BA" w:rsidRPr="003A75E6">
        <w:rPr>
          <w:color w:val="000000"/>
          <w:sz w:val="26"/>
          <w:szCs w:val="26"/>
        </w:rPr>
        <w:t xml:space="preserve">However, </w:t>
      </w:r>
      <w:r w:rsidR="007A228D" w:rsidRPr="003A75E6">
        <w:rPr>
          <w:color w:val="000000"/>
          <w:sz w:val="26"/>
          <w:szCs w:val="26"/>
        </w:rPr>
        <w:t xml:space="preserve">it would be unrealistic and uneconomical for a competitor to construct redundant facilities to provide traditional TDM service. </w:t>
      </w:r>
      <w:r w:rsidR="004A44BA" w:rsidRPr="003A75E6">
        <w:rPr>
          <w:color w:val="000000"/>
          <w:sz w:val="26"/>
          <w:szCs w:val="26"/>
        </w:rPr>
        <w:t xml:space="preserve"> </w:t>
      </w:r>
      <w:r w:rsidR="007A228D" w:rsidRPr="003A75E6">
        <w:rPr>
          <w:color w:val="000000"/>
          <w:sz w:val="26"/>
          <w:szCs w:val="26"/>
        </w:rPr>
        <w:t xml:space="preserve">The configuration of the wireline network and the last mile facilities at each customer location </w:t>
      </w:r>
      <w:r w:rsidR="00786ABC" w:rsidRPr="003A75E6">
        <w:rPr>
          <w:color w:val="000000"/>
          <w:sz w:val="26"/>
          <w:szCs w:val="26"/>
        </w:rPr>
        <w:t xml:space="preserve">typically </w:t>
      </w:r>
      <w:r w:rsidR="007A228D" w:rsidRPr="003A75E6">
        <w:rPr>
          <w:color w:val="000000"/>
          <w:sz w:val="26"/>
          <w:szCs w:val="26"/>
        </w:rPr>
        <w:t xml:space="preserve">makes it economically infeasible to build out a network at each location.  To serve enterprise customers and/or residential customers, competitors typically rely upon copper </w:t>
      </w:r>
      <w:r w:rsidR="00125822" w:rsidRPr="003A75E6">
        <w:rPr>
          <w:color w:val="000000"/>
          <w:sz w:val="26"/>
          <w:szCs w:val="26"/>
        </w:rPr>
        <w:t xml:space="preserve">or other types of </w:t>
      </w:r>
      <w:r w:rsidR="007A228D" w:rsidRPr="003A75E6">
        <w:rPr>
          <w:color w:val="000000"/>
          <w:sz w:val="26"/>
          <w:szCs w:val="26"/>
        </w:rPr>
        <w:t xml:space="preserve">connections that already exist at their customers’ locations and for which their customers already have the necessary equipment.  </w:t>
      </w:r>
      <w:r w:rsidR="00036E29" w:rsidRPr="003A75E6">
        <w:rPr>
          <w:color w:val="000000"/>
          <w:sz w:val="26"/>
          <w:szCs w:val="26"/>
        </w:rPr>
        <w:t xml:space="preserve">If the Commission were to grant forbearance from unbundling and resale obligations, </w:t>
      </w:r>
      <w:r w:rsidR="00786ABC" w:rsidRPr="003A75E6">
        <w:rPr>
          <w:color w:val="000000"/>
          <w:sz w:val="26"/>
          <w:szCs w:val="26"/>
        </w:rPr>
        <w:t xml:space="preserve">ILECs, </w:t>
      </w:r>
      <w:r w:rsidR="00036E29" w:rsidRPr="003A75E6">
        <w:rPr>
          <w:color w:val="000000"/>
          <w:sz w:val="26"/>
          <w:szCs w:val="26"/>
        </w:rPr>
        <w:t xml:space="preserve">just like cable companies now, would no longer be legally obligated </w:t>
      </w:r>
      <w:r w:rsidR="00036E29" w:rsidRPr="003A75E6">
        <w:rPr>
          <w:color w:val="000000"/>
          <w:sz w:val="26"/>
          <w:szCs w:val="26"/>
        </w:rPr>
        <w:lastRenderedPageBreak/>
        <w:t xml:space="preserve">to provide open access to their networks.  The result </w:t>
      </w:r>
      <w:r w:rsidR="004A44BA" w:rsidRPr="003A75E6">
        <w:rPr>
          <w:color w:val="000000"/>
          <w:sz w:val="26"/>
          <w:szCs w:val="26"/>
        </w:rPr>
        <w:t>c</w:t>
      </w:r>
      <w:r w:rsidR="00036E29" w:rsidRPr="003A75E6">
        <w:rPr>
          <w:color w:val="000000"/>
          <w:sz w:val="26"/>
          <w:szCs w:val="26"/>
        </w:rPr>
        <w:t xml:space="preserve">ould be </w:t>
      </w:r>
      <w:r w:rsidR="004A44BA" w:rsidRPr="003A75E6">
        <w:rPr>
          <w:color w:val="000000"/>
          <w:sz w:val="26"/>
          <w:szCs w:val="26"/>
        </w:rPr>
        <w:t xml:space="preserve">problematic </w:t>
      </w:r>
      <w:r w:rsidR="00036E29" w:rsidRPr="003A75E6">
        <w:rPr>
          <w:color w:val="000000"/>
          <w:sz w:val="26"/>
          <w:szCs w:val="26"/>
        </w:rPr>
        <w:t>to small competitive providers as th</w:t>
      </w:r>
      <w:r w:rsidR="009C40EF" w:rsidRPr="003A75E6">
        <w:rPr>
          <w:color w:val="000000"/>
          <w:sz w:val="26"/>
          <w:szCs w:val="26"/>
        </w:rPr>
        <w:t>os</w:t>
      </w:r>
      <w:r w:rsidR="00036E29" w:rsidRPr="003A75E6">
        <w:rPr>
          <w:color w:val="000000"/>
          <w:sz w:val="26"/>
          <w:szCs w:val="26"/>
        </w:rPr>
        <w:t xml:space="preserve">e only facilities-based providers can price them out of the market completely.  </w:t>
      </w:r>
      <w:r w:rsidR="00E15E55" w:rsidRPr="003A75E6">
        <w:rPr>
          <w:color w:val="000000"/>
          <w:sz w:val="26"/>
          <w:szCs w:val="26"/>
        </w:rPr>
        <w:t>On these bases alone</w:t>
      </w:r>
      <w:r w:rsidR="00D40E06" w:rsidRPr="003A75E6">
        <w:rPr>
          <w:color w:val="000000"/>
          <w:sz w:val="26"/>
          <w:szCs w:val="26"/>
        </w:rPr>
        <w:t xml:space="preserve">, </w:t>
      </w:r>
      <w:r w:rsidR="00D40E06" w:rsidRPr="003A75E6">
        <w:rPr>
          <w:rFonts w:eastAsia="Times New Roman"/>
          <w:color w:val="000000"/>
          <w:spacing w:val="-1"/>
          <w:sz w:val="26"/>
          <w:szCs w:val="26"/>
        </w:rPr>
        <w:t xml:space="preserve">the Pa. PUC </w:t>
      </w:r>
      <w:r w:rsidR="001A1B28" w:rsidRPr="003A75E6">
        <w:rPr>
          <w:rFonts w:eastAsia="Times New Roman"/>
          <w:color w:val="000000"/>
          <w:spacing w:val="-1"/>
          <w:sz w:val="26"/>
          <w:szCs w:val="26"/>
        </w:rPr>
        <w:t>concludes</w:t>
      </w:r>
      <w:r w:rsidR="00D40E06" w:rsidRPr="003A75E6">
        <w:rPr>
          <w:rFonts w:eastAsia="Times New Roman"/>
          <w:color w:val="000000"/>
          <w:spacing w:val="-1"/>
          <w:sz w:val="26"/>
          <w:szCs w:val="26"/>
        </w:rPr>
        <w:t xml:space="preserve"> that USTelecom </w:t>
      </w:r>
      <w:r w:rsidR="001A1B28" w:rsidRPr="003A75E6">
        <w:rPr>
          <w:rFonts w:eastAsia="Times New Roman"/>
          <w:color w:val="000000"/>
          <w:spacing w:val="-1"/>
          <w:sz w:val="26"/>
          <w:szCs w:val="26"/>
        </w:rPr>
        <w:t xml:space="preserve">has </w:t>
      </w:r>
      <w:r w:rsidR="00D40E06" w:rsidRPr="003A75E6">
        <w:rPr>
          <w:rFonts w:eastAsia="Times New Roman"/>
          <w:color w:val="000000"/>
          <w:spacing w:val="-1"/>
          <w:sz w:val="26"/>
          <w:szCs w:val="26"/>
        </w:rPr>
        <w:t xml:space="preserve">failed to support its claim that the continued existence of the unbundling and resale obligations is affirmatively harming competition or that retention of those obligations is contrary to the public interest.  </w:t>
      </w:r>
    </w:p>
    <w:p w:rsidR="00DC5ED8" w:rsidRPr="003A75E6" w:rsidRDefault="00DC5ED8" w:rsidP="003A75E6">
      <w:pPr>
        <w:ind w:firstLine="720"/>
        <w:textAlignment w:val="baseline"/>
        <w:rPr>
          <w:color w:val="000000"/>
          <w:sz w:val="26"/>
          <w:szCs w:val="26"/>
        </w:rPr>
      </w:pPr>
    </w:p>
    <w:p w:rsidR="001D15CC" w:rsidRDefault="00036E29" w:rsidP="003A75E6">
      <w:pPr>
        <w:ind w:firstLine="720"/>
        <w:textAlignment w:val="baseline"/>
        <w:rPr>
          <w:color w:val="000000"/>
          <w:sz w:val="26"/>
          <w:szCs w:val="26"/>
        </w:rPr>
      </w:pPr>
      <w:r w:rsidRPr="003A75E6">
        <w:rPr>
          <w:color w:val="000000"/>
          <w:sz w:val="26"/>
          <w:szCs w:val="26"/>
        </w:rPr>
        <w:t xml:space="preserve">Verizon </w:t>
      </w:r>
      <w:r w:rsidR="00E15E55" w:rsidRPr="003A75E6">
        <w:rPr>
          <w:color w:val="000000"/>
          <w:sz w:val="26"/>
          <w:szCs w:val="26"/>
        </w:rPr>
        <w:t xml:space="preserve">also </w:t>
      </w:r>
      <w:r w:rsidRPr="003A75E6">
        <w:rPr>
          <w:color w:val="000000"/>
          <w:sz w:val="26"/>
          <w:szCs w:val="26"/>
        </w:rPr>
        <w:t xml:space="preserve">echoes USTelecom’s </w:t>
      </w:r>
      <w:r w:rsidR="00B829E1" w:rsidRPr="003A75E6">
        <w:rPr>
          <w:color w:val="000000"/>
          <w:sz w:val="26"/>
          <w:szCs w:val="26"/>
        </w:rPr>
        <w:t xml:space="preserve">claim that </w:t>
      </w:r>
      <w:r w:rsidR="0089774A" w:rsidRPr="003A75E6">
        <w:rPr>
          <w:color w:val="000000"/>
          <w:sz w:val="26"/>
          <w:szCs w:val="26"/>
        </w:rPr>
        <w:t xml:space="preserve">UNEs and, to an extent, resale are impeding </w:t>
      </w:r>
      <w:r w:rsidRPr="003A75E6">
        <w:rPr>
          <w:color w:val="000000"/>
          <w:sz w:val="26"/>
          <w:szCs w:val="26"/>
        </w:rPr>
        <w:t xml:space="preserve">ILEC </w:t>
      </w:r>
      <w:r w:rsidR="0089774A" w:rsidRPr="003A75E6">
        <w:rPr>
          <w:color w:val="000000"/>
          <w:sz w:val="26"/>
          <w:szCs w:val="26"/>
        </w:rPr>
        <w:t>investment in next generation networks.</w:t>
      </w:r>
      <w:r w:rsidR="001E7F55" w:rsidRPr="003A75E6">
        <w:rPr>
          <w:rStyle w:val="FootnoteReference"/>
          <w:color w:val="000000"/>
          <w:sz w:val="26"/>
          <w:szCs w:val="26"/>
        </w:rPr>
        <w:footnoteReference w:id="7"/>
      </w:r>
      <w:r w:rsidR="001E7F55" w:rsidRPr="003A75E6">
        <w:rPr>
          <w:color w:val="000000"/>
          <w:sz w:val="26"/>
          <w:szCs w:val="26"/>
        </w:rPr>
        <w:t xml:space="preserve">  </w:t>
      </w:r>
      <w:r w:rsidR="00B829E1" w:rsidRPr="003A75E6">
        <w:rPr>
          <w:color w:val="000000"/>
          <w:sz w:val="26"/>
          <w:szCs w:val="26"/>
        </w:rPr>
        <w:t xml:space="preserve">Consequently, USTelecom and Verizon assert that forbearance from these statutory obligations will incent them to </w:t>
      </w:r>
      <w:r w:rsidR="002B4239" w:rsidRPr="003A75E6">
        <w:rPr>
          <w:color w:val="000000"/>
          <w:sz w:val="26"/>
          <w:szCs w:val="26"/>
        </w:rPr>
        <w:t>invest in new technologies.  However, the Pa. PUC notes that s</w:t>
      </w:r>
      <w:r w:rsidR="0089774A" w:rsidRPr="003A75E6">
        <w:rPr>
          <w:color w:val="000000"/>
          <w:sz w:val="26"/>
          <w:szCs w:val="26"/>
        </w:rPr>
        <w:t xml:space="preserve">maller rural </w:t>
      </w:r>
      <w:r w:rsidR="007E65AC" w:rsidRPr="003A75E6">
        <w:rPr>
          <w:color w:val="000000"/>
          <w:sz w:val="26"/>
          <w:szCs w:val="26"/>
        </w:rPr>
        <w:t xml:space="preserve">ILECs </w:t>
      </w:r>
      <w:r w:rsidR="0089774A" w:rsidRPr="003A75E6">
        <w:rPr>
          <w:color w:val="000000"/>
          <w:sz w:val="26"/>
          <w:szCs w:val="26"/>
        </w:rPr>
        <w:t xml:space="preserve">providing service in similar areas have </w:t>
      </w:r>
      <w:r w:rsidR="002B4239" w:rsidRPr="003A75E6">
        <w:rPr>
          <w:color w:val="000000"/>
          <w:sz w:val="26"/>
          <w:szCs w:val="26"/>
        </w:rPr>
        <w:t>already invest</w:t>
      </w:r>
      <w:r w:rsidR="007E65AC" w:rsidRPr="003A75E6">
        <w:rPr>
          <w:color w:val="000000"/>
          <w:sz w:val="26"/>
          <w:szCs w:val="26"/>
        </w:rPr>
        <w:t>ed</w:t>
      </w:r>
      <w:r w:rsidR="002B4239" w:rsidRPr="003A75E6">
        <w:rPr>
          <w:color w:val="000000"/>
          <w:sz w:val="26"/>
          <w:szCs w:val="26"/>
        </w:rPr>
        <w:t xml:space="preserve"> </w:t>
      </w:r>
      <w:r w:rsidR="0089774A" w:rsidRPr="003A75E6">
        <w:rPr>
          <w:color w:val="000000"/>
          <w:sz w:val="26"/>
          <w:szCs w:val="26"/>
        </w:rPr>
        <w:t>in next generation networks even as the</w:t>
      </w:r>
      <w:r w:rsidR="007E65AC" w:rsidRPr="003A75E6">
        <w:rPr>
          <w:color w:val="000000"/>
          <w:sz w:val="26"/>
          <w:szCs w:val="26"/>
        </w:rPr>
        <w:t>ir</w:t>
      </w:r>
      <w:r w:rsidR="0089774A" w:rsidRPr="003A75E6">
        <w:rPr>
          <w:color w:val="000000"/>
          <w:sz w:val="26"/>
          <w:szCs w:val="26"/>
        </w:rPr>
        <w:t xml:space="preserve"> rural suspension</w:t>
      </w:r>
      <w:r w:rsidR="007E65AC" w:rsidRPr="003A75E6">
        <w:rPr>
          <w:color w:val="000000"/>
          <w:sz w:val="26"/>
          <w:szCs w:val="26"/>
        </w:rPr>
        <w:t>s</w:t>
      </w:r>
      <w:r w:rsidR="0089774A" w:rsidRPr="003A75E6">
        <w:rPr>
          <w:color w:val="000000"/>
          <w:sz w:val="26"/>
          <w:szCs w:val="26"/>
        </w:rPr>
        <w:t xml:space="preserve"> and exemptions </w:t>
      </w:r>
      <w:r w:rsidR="002B4239" w:rsidRPr="003A75E6">
        <w:rPr>
          <w:color w:val="000000"/>
          <w:sz w:val="26"/>
          <w:szCs w:val="26"/>
        </w:rPr>
        <w:t xml:space="preserve">have evaporated and they have faced increasing </w:t>
      </w:r>
      <w:r w:rsidRPr="003A75E6">
        <w:rPr>
          <w:color w:val="000000"/>
          <w:sz w:val="26"/>
          <w:szCs w:val="26"/>
        </w:rPr>
        <w:t>competition and struggle</w:t>
      </w:r>
      <w:r w:rsidR="007E65AC" w:rsidRPr="003A75E6">
        <w:rPr>
          <w:color w:val="000000"/>
          <w:sz w:val="26"/>
          <w:szCs w:val="26"/>
        </w:rPr>
        <w:t>d</w:t>
      </w:r>
      <w:r w:rsidRPr="003A75E6">
        <w:rPr>
          <w:color w:val="000000"/>
          <w:sz w:val="26"/>
          <w:szCs w:val="26"/>
        </w:rPr>
        <w:t xml:space="preserve"> with </w:t>
      </w:r>
      <w:r w:rsidR="0089774A" w:rsidRPr="003A75E6">
        <w:rPr>
          <w:color w:val="000000"/>
          <w:sz w:val="26"/>
          <w:szCs w:val="26"/>
        </w:rPr>
        <w:t xml:space="preserve">financial limitations.  Seen in this light, </w:t>
      </w:r>
      <w:r w:rsidR="002B4239" w:rsidRPr="003A75E6">
        <w:rPr>
          <w:color w:val="000000"/>
          <w:sz w:val="26"/>
          <w:szCs w:val="26"/>
        </w:rPr>
        <w:t xml:space="preserve">the Pa. PUC </w:t>
      </w:r>
      <w:r w:rsidR="008354A0" w:rsidRPr="003A75E6">
        <w:rPr>
          <w:color w:val="000000"/>
          <w:sz w:val="26"/>
          <w:szCs w:val="26"/>
        </w:rPr>
        <w:t>questions</w:t>
      </w:r>
      <w:r w:rsidR="00123DF0" w:rsidRPr="003A75E6">
        <w:rPr>
          <w:color w:val="000000"/>
          <w:sz w:val="26"/>
          <w:szCs w:val="26"/>
        </w:rPr>
        <w:t xml:space="preserve"> the claim that</w:t>
      </w:r>
      <w:r w:rsidR="008354A0" w:rsidRPr="003A75E6">
        <w:rPr>
          <w:color w:val="000000"/>
          <w:sz w:val="26"/>
          <w:szCs w:val="26"/>
        </w:rPr>
        <w:t>,</w:t>
      </w:r>
      <w:r w:rsidR="00532D94" w:rsidRPr="003A75E6">
        <w:rPr>
          <w:color w:val="000000"/>
          <w:sz w:val="26"/>
          <w:szCs w:val="26"/>
        </w:rPr>
        <w:t xml:space="preserve"> upon</w:t>
      </w:r>
      <w:r w:rsidR="00123DF0" w:rsidRPr="003A75E6">
        <w:rPr>
          <w:color w:val="000000"/>
          <w:sz w:val="26"/>
          <w:szCs w:val="26"/>
        </w:rPr>
        <w:t xml:space="preserve"> </w:t>
      </w:r>
      <w:r w:rsidR="0089774A" w:rsidRPr="003A75E6">
        <w:rPr>
          <w:color w:val="000000"/>
          <w:sz w:val="26"/>
          <w:szCs w:val="26"/>
        </w:rPr>
        <w:t xml:space="preserve">removal of </w:t>
      </w:r>
      <w:r w:rsidR="003066AC" w:rsidRPr="003A75E6">
        <w:rPr>
          <w:color w:val="000000"/>
          <w:sz w:val="26"/>
          <w:szCs w:val="26"/>
        </w:rPr>
        <w:t xml:space="preserve">the </w:t>
      </w:r>
      <w:r w:rsidR="00123DF0" w:rsidRPr="003A75E6">
        <w:rPr>
          <w:color w:val="000000"/>
          <w:sz w:val="26"/>
          <w:szCs w:val="26"/>
        </w:rPr>
        <w:t>UNE and resale obligations</w:t>
      </w:r>
      <w:r w:rsidR="003066AC" w:rsidRPr="003A75E6">
        <w:rPr>
          <w:color w:val="000000"/>
          <w:sz w:val="26"/>
          <w:szCs w:val="26"/>
        </w:rPr>
        <w:t>, ILEC</w:t>
      </w:r>
      <w:r w:rsidR="008354A0" w:rsidRPr="003A75E6">
        <w:rPr>
          <w:color w:val="000000"/>
          <w:sz w:val="26"/>
          <w:szCs w:val="26"/>
        </w:rPr>
        <w:t>s</w:t>
      </w:r>
      <w:r w:rsidR="003066AC" w:rsidRPr="003A75E6">
        <w:rPr>
          <w:color w:val="000000"/>
          <w:sz w:val="26"/>
          <w:szCs w:val="26"/>
        </w:rPr>
        <w:t xml:space="preserve"> will suddenly be </w:t>
      </w:r>
      <w:r w:rsidR="00123DF0" w:rsidRPr="003A75E6">
        <w:rPr>
          <w:color w:val="000000"/>
          <w:sz w:val="26"/>
          <w:szCs w:val="26"/>
        </w:rPr>
        <w:t>spur</w:t>
      </w:r>
      <w:r w:rsidR="003066AC" w:rsidRPr="003A75E6">
        <w:rPr>
          <w:color w:val="000000"/>
          <w:sz w:val="26"/>
          <w:szCs w:val="26"/>
        </w:rPr>
        <w:t>red</w:t>
      </w:r>
      <w:r w:rsidR="00123DF0" w:rsidRPr="003A75E6">
        <w:rPr>
          <w:color w:val="000000"/>
          <w:sz w:val="26"/>
          <w:szCs w:val="26"/>
        </w:rPr>
        <w:t xml:space="preserve"> to </w:t>
      </w:r>
      <w:r w:rsidR="0089774A" w:rsidRPr="003A75E6">
        <w:rPr>
          <w:color w:val="000000"/>
          <w:sz w:val="26"/>
          <w:szCs w:val="26"/>
        </w:rPr>
        <w:t xml:space="preserve">invest </w:t>
      </w:r>
      <w:r w:rsidR="00123DF0" w:rsidRPr="003A75E6">
        <w:rPr>
          <w:color w:val="000000"/>
          <w:sz w:val="26"/>
          <w:szCs w:val="26"/>
        </w:rPr>
        <w:t xml:space="preserve">into next-generation networks and technologies.  Nevertheless, </w:t>
      </w:r>
      <w:r w:rsidR="003066AC" w:rsidRPr="003A75E6">
        <w:rPr>
          <w:color w:val="000000"/>
          <w:sz w:val="26"/>
          <w:szCs w:val="26"/>
        </w:rPr>
        <w:t xml:space="preserve">if their contention is true and </w:t>
      </w:r>
      <w:r w:rsidR="00123DF0" w:rsidRPr="003A75E6">
        <w:rPr>
          <w:color w:val="000000"/>
          <w:sz w:val="26"/>
          <w:szCs w:val="26"/>
        </w:rPr>
        <w:t xml:space="preserve">the Commission is persuaded </w:t>
      </w:r>
      <w:r w:rsidR="003066AC" w:rsidRPr="003A75E6">
        <w:rPr>
          <w:color w:val="000000"/>
          <w:sz w:val="26"/>
          <w:szCs w:val="26"/>
        </w:rPr>
        <w:t xml:space="preserve">by this declaration, </w:t>
      </w:r>
      <w:r w:rsidR="00123DF0" w:rsidRPr="003A75E6">
        <w:rPr>
          <w:color w:val="000000"/>
          <w:sz w:val="26"/>
          <w:szCs w:val="26"/>
        </w:rPr>
        <w:t xml:space="preserve">it should place conditions on the grant of forbearance.  </w:t>
      </w:r>
      <w:r w:rsidR="003066AC" w:rsidRPr="003A75E6">
        <w:rPr>
          <w:color w:val="000000"/>
          <w:sz w:val="26"/>
          <w:szCs w:val="26"/>
        </w:rPr>
        <w:t>For example, t</w:t>
      </w:r>
      <w:r w:rsidR="00123DF0" w:rsidRPr="003A75E6">
        <w:rPr>
          <w:color w:val="000000"/>
          <w:sz w:val="26"/>
          <w:szCs w:val="26"/>
        </w:rPr>
        <w:t xml:space="preserve">he Commission should impose on the non-CAF </w:t>
      </w:r>
      <w:r w:rsidR="003066AC" w:rsidRPr="003A75E6">
        <w:rPr>
          <w:color w:val="000000"/>
          <w:sz w:val="26"/>
          <w:szCs w:val="26"/>
        </w:rPr>
        <w:t xml:space="preserve">Phase II </w:t>
      </w:r>
      <w:r w:rsidR="00123DF0" w:rsidRPr="003A75E6">
        <w:rPr>
          <w:color w:val="000000"/>
          <w:sz w:val="26"/>
          <w:szCs w:val="26"/>
        </w:rPr>
        <w:t>ILEC recipients that benefit from the forbearance</w:t>
      </w:r>
      <w:r w:rsidR="0045458C" w:rsidRPr="003A75E6">
        <w:rPr>
          <w:color w:val="000000"/>
          <w:sz w:val="26"/>
          <w:szCs w:val="26"/>
        </w:rPr>
        <w:t xml:space="preserve"> the same</w:t>
      </w:r>
      <w:r w:rsidR="000B5A93" w:rsidRPr="003A75E6">
        <w:rPr>
          <w:color w:val="000000"/>
          <w:sz w:val="26"/>
          <w:szCs w:val="26"/>
        </w:rPr>
        <w:t xml:space="preserve"> or similar</w:t>
      </w:r>
      <w:r w:rsidR="0045458C" w:rsidRPr="003A75E6">
        <w:rPr>
          <w:color w:val="000000"/>
          <w:sz w:val="26"/>
          <w:szCs w:val="26"/>
        </w:rPr>
        <w:t xml:space="preserve"> buildout requirements that it has imposed upon CAF Phase II recipients</w:t>
      </w:r>
      <w:r w:rsidR="00123DF0" w:rsidRPr="003A75E6">
        <w:rPr>
          <w:color w:val="000000"/>
          <w:sz w:val="26"/>
          <w:szCs w:val="26"/>
        </w:rPr>
        <w:t>.  Simply put, if forbearance is</w:t>
      </w:r>
      <w:r w:rsidR="008F14B8" w:rsidRPr="003A75E6">
        <w:rPr>
          <w:color w:val="000000"/>
          <w:sz w:val="26"/>
          <w:szCs w:val="26"/>
        </w:rPr>
        <w:t>, in fact, an incentive</w:t>
      </w:r>
      <w:r w:rsidR="00123DF0" w:rsidRPr="003A75E6">
        <w:rPr>
          <w:color w:val="000000"/>
          <w:sz w:val="26"/>
          <w:szCs w:val="26"/>
        </w:rPr>
        <w:t xml:space="preserve"> to deploy advanced network and broadband services throughout</w:t>
      </w:r>
      <w:r w:rsidR="00B140B4" w:rsidRPr="003A75E6">
        <w:rPr>
          <w:color w:val="000000"/>
          <w:sz w:val="26"/>
          <w:szCs w:val="26"/>
        </w:rPr>
        <w:t xml:space="preserve"> ILECs’</w:t>
      </w:r>
      <w:r w:rsidR="00123DF0" w:rsidRPr="003A75E6">
        <w:rPr>
          <w:color w:val="000000"/>
          <w:sz w:val="26"/>
          <w:szCs w:val="26"/>
        </w:rPr>
        <w:t xml:space="preserve"> territories, </w:t>
      </w:r>
      <w:r w:rsidR="006223F1" w:rsidRPr="003A75E6">
        <w:rPr>
          <w:color w:val="000000"/>
          <w:sz w:val="26"/>
          <w:szCs w:val="26"/>
        </w:rPr>
        <w:t>th</w:t>
      </w:r>
      <w:r w:rsidR="0073405F" w:rsidRPr="003A75E6">
        <w:rPr>
          <w:color w:val="000000"/>
          <w:sz w:val="26"/>
          <w:szCs w:val="26"/>
        </w:rPr>
        <w:t>e</w:t>
      </w:r>
      <w:r w:rsidR="006223F1" w:rsidRPr="003A75E6">
        <w:rPr>
          <w:color w:val="000000"/>
          <w:sz w:val="26"/>
          <w:szCs w:val="26"/>
        </w:rPr>
        <w:t xml:space="preserve">n </w:t>
      </w:r>
      <w:r w:rsidR="00123DF0" w:rsidRPr="003A75E6">
        <w:rPr>
          <w:color w:val="000000"/>
          <w:sz w:val="26"/>
          <w:szCs w:val="26"/>
        </w:rPr>
        <w:t xml:space="preserve">the </w:t>
      </w:r>
      <w:r w:rsidR="006223F1" w:rsidRPr="003A75E6">
        <w:rPr>
          <w:color w:val="000000"/>
          <w:sz w:val="26"/>
          <w:szCs w:val="26"/>
        </w:rPr>
        <w:t xml:space="preserve">benefitting ILECs should be subject </w:t>
      </w:r>
      <w:r w:rsidR="004E6994" w:rsidRPr="003A75E6">
        <w:rPr>
          <w:color w:val="000000"/>
          <w:sz w:val="26"/>
          <w:szCs w:val="26"/>
        </w:rPr>
        <w:t xml:space="preserve">to </w:t>
      </w:r>
      <w:r w:rsidR="00EB5968" w:rsidRPr="003A75E6">
        <w:rPr>
          <w:color w:val="000000"/>
          <w:sz w:val="26"/>
          <w:szCs w:val="26"/>
        </w:rPr>
        <w:t>additional</w:t>
      </w:r>
      <w:r w:rsidR="006223F1" w:rsidRPr="003A75E6">
        <w:rPr>
          <w:color w:val="000000"/>
          <w:sz w:val="26"/>
          <w:szCs w:val="26"/>
        </w:rPr>
        <w:t xml:space="preserve"> broadband deployment obligation</w:t>
      </w:r>
      <w:r w:rsidR="00524EDF" w:rsidRPr="003A75E6">
        <w:rPr>
          <w:color w:val="000000"/>
          <w:sz w:val="26"/>
          <w:szCs w:val="26"/>
        </w:rPr>
        <w:t>s</w:t>
      </w:r>
      <w:r w:rsidR="006223F1" w:rsidRPr="003A75E6">
        <w:rPr>
          <w:color w:val="000000"/>
          <w:sz w:val="26"/>
          <w:szCs w:val="26"/>
        </w:rPr>
        <w:t xml:space="preserve"> as a condition to receiving forbearance.</w:t>
      </w:r>
    </w:p>
    <w:p w:rsidR="001D15CC" w:rsidRDefault="001D15CC">
      <w:pPr>
        <w:rPr>
          <w:color w:val="000000"/>
          <w:sz w:val="26"/>
          <w:szCs w:val="26"/>
        </w:rPr>
      </w:pPr>
      <w:r>
        <w:rPr>
          <w:color w:val="000000"/>
          <w:sz w:val="26"/>
          <w:szCs w:val="26"/>
        </w:rPr>
        <w:br w:type="page"/>
      </w:r>
    </w:p>
    <w:p w:rsidR="00B22E25" w:rsidRPr="003A75E6" w:rsidRDefault="00B22E25" w:rsidP="003A75E6">
      <w:pPr>
        <w:pStyle w:val="ListParagraph"/>
        <w:numPr>
          <w:ilvl w:val="0"/>
          <w:numId w:val="7"/>
        </w:numPr>
        <w:autoSpaceDE w:val="0"/>
        <w:autoSpaceDN w:val="0"/>
        <w:adjustRightInd w:val="0"/>
        <w:spacing w:line="240" w:lineRule="auto"/>
        <w:ind w:left="1440" w:hanging="720"/>
        <w:rPr>
          <w:rFonts w:eastAsia="Times New Roman"/>
          <w:b/>
          <w:color w:val="000000"/>
          <w:spacing w:val="-2"/>
          <w:sz w:val="26"/>
          <w:szCs w:val="26"/>
        </w:rPr>
      </w:pPr>
      <w:r w:rsidRPr="003A75E6">
        <w:rPr>
          <w:rFonts w:eastAsia="Times New Roman"/>
          <w:b/>
          <w:color w:val="000000"/>
          <w:spacing w:val="-1"/>
          <w:sz w:val="26"/>
          <w:szCs w:val="26"/>
          <w:lang w:val="en"/>
        </w:rPr>
        <w:lastRenderedPageBreak/>
        <w:t xml:space="preserve">The Commission Should Not Grant Forbearance from the Unbundling and Resale Obligations of Section 251(c)(3) and (4) of </w:t>
      </w:r>
      <w:r w:rsidR="00B639B7" w:rsidRPr="003A75E6">
        <w:rPr>
          <w:rFonts w:eastAsia="Times New Roman"/>
          <w:b/>
          <w:color w:val="000000"/>
          <w:spacing w:val="-1"/>
          <w:sz w:val="26"/>
          <w:szCs w:val="26"/>
          <w:lang w:val="en"/>
        </w:rPr>
        <w:t>TA-96</w:t>
      </w:r>
      <w:r w:rsidRPr="003A75E6">
        <w:rPr>
          <w:rFonts w:eastAsia="Times New Roman"/>
          <w:b/>
          <w:color w:val="000000"/>
          <w:spacing w:val="-1"/>
          <w:sz w:val="26"/>
          <w:szCs w:val="26"/>
          <w:lang w:val="en"/>
        </w:rPr>
        <w:t xml:space="preserve"> Because USTelecom Has Not Provided Sufficiently Granular Data to Meet the Relevant Statutory Criteria.</w:t>
      </w:r>
    </w:p>
    <w:p w:rsidR="00B22E25" w:rsidRPr="003A75E6" w:rsidRDefault="00B22E25" w:rsidP="003A75E6">
      <w:pPr>
        <w:pStyle w:val="ListParagraph"/>
        <w:autoSpaceDE w:val="0"/>
        <w:autoSpaceDN w:val="0"/>
        <w:adjustRightInd w:val="0"/>
        <w:spacing w:line="240" w:lineRule="auto"/>
        <w:ind w:left="2160"/>
        <w:rPr>
          <w:rFonts w:eastAsia="Times New Roman"/>
          <w:b/>
          <w:color w:val="000000"/>
          <w:spacing w:val="-2"/>
          <w:sz w:val="26"/>
          <w:szCs w:val="26"/>
        </w:rPr>
      </w:pPr>
    </w:p>
    <w:p w:rsidR="00B22E25" w:rsidRPr="003A75E6" w:rsidRDefault="00B22E25" w:rsidP="003A75E6">
      <w:pPr>
        <w:autoSpaceDE w:val="0"/>
        <w:autoSpaceDN w:val="0"/>
        <w:adjustRightInd w:val="0"/>
        <w:ind w:firstLine="720"/>
        <w:rPr>
          <w:rFonts w:eastAsia="Times New Roman"/>
          <w:b/>
          <w:color w:val="000000"/>
          <w:spacing w:val="-2"/>
          <w:sz w:val="26"/>
          <w:szCs w:val="26"/>
        </w:rPr>
      </w:pPr>
      <w:r w:rsidRPr="003A75E6">
        <w:rPr>
          <w:rFonts w:eastAsia="Times New Roman"/>
          <w:color w:val="000000"/>
          <w:sz w:val="26"/>
          <w:szCs w:val="26"/>
        </w:rPr>
        <w:t xml:space="preserve">Many parties filed </w:t>
      </w:r>
      <w:r w:rsidR="00D77ABA" w:rsidRPr="003A75E6">
        <w:rPr>
          <w:rFonts w:eastAsia="Times New Roman"/>
          <w:color w:val="000000"/>
          <w:sz w:val="26"/>
          <w:szCs w:val="26"/>
        </w:rPr>
        <w:t>comments</w:t>
      </w:r>
      <w:r w:rsidRPr="003A75E6">
        <w:rPr>
          <w:rFonts w:eastAsia="Times New Roman"/>
          <w:color w:val="000000"/>
          <w:sz w:val="26"/>
          <w:szCs w:val="26"/>
        </w:rPr>
        <w:t xml:space="preserve"> opposing the granting of the Petition.  Many of those that opposed the Petition noted that USTelecom provided no facts, data or analys</w:t>
      </w:r>
      <w:r w:rsidR="00544DE8" w:rsidRPr="003A75E6">
        <w:rPr>
          <w:rFonts w:eastAsia="Times New Roman"/>
          <w:color w:val="000000"/>
          <w:sz w:val="26"/>
          <w:szCs w:val="26"/>
        </w:rPr>
        <w:t>e</w:t>
      </w:r>
      <w:r w:rsidRPr="003A75E6">
        <w:rPr>
          <w:rFonts w:eastAsia="Times New Roman"/>
          <w:color w:val="000000"/>
          <w:sz w:val="26"/>
          <w:szCs w:val="26"/>
        </w:rPr>
        <w:t>s to support forbearance from the ILEC-specific unbundling obligations and resale obligation.  Essentially, as CALTEL state</w:t>
      </w:r>
      <w:r w:rsidR="00591306" w:rsidRPr="003A75E6">
        <w:rPr>
          <w:rFonts w:eastAsia="Times New Roman"/>
          <w:color w:val="000000"/>
          <w:sz w:val="26"/>
          <w:szCs w:val="26"/>
        </w:rPr>
        <w:t>d</w:t>
      </w:r>
      <w:r w:rsidRPr="003A75E6">
        <w:rPr>
          <w:rFonts w:eastAsia="Times New Roman"/>
          <w:color w:val="000000"/>
          <w:sz w:val="26"/>
          <w:szCs w:val="26"/>
        </w:rPr>
        <w:t xml:space="preserve"> in its opposing comments, USTelecom is making an unprecedented request that the Commission grant </w:t>
      </w:r>
      <w:r w:rsidRPr="003A75E6">
        <w:rPr>
          <w:rFonts w:eastAsia="Times New Roman"/>
          <w:iCs/>
          <w:color w:val="000000"/>
          <w:sz w:val="26"/>
          <w:szCs w:val="26"/>
        </w:rPr>
        <w:t>all</w:t>
      </w:r>
      <w:r w:rsidRPr="003A75E6">
        <w:rPr>
          <w:rFonts w:eastAsia="Times New Roman"/>
          <w:i/>
          <w:iCs/>
          <w:color w:val="000000"/>
          <w:sz w:val="26"/>
          <w:szCs w:val="26"/>
        </w:rPr>
        <w:t xml:space="preserve"> </w:t>
      </w:r>
      <w:r w:rsidRPr="003A75E6">
        <w:rPr>
          <w:rFonts w:eastAsia="Times New Roman"/>
          <w:color w:val="000000"/>
          <w:sz w:val="26"/>
          <w:szCs w:val="26"/>
        </w:rPr>
        <w:t xml:space="preserve">ILECs in </w:t>
      </w:r>
      <w:r w:rsidRPr="003A75E6">
        <w:rPr>
          <w:rFonts w:eastAsia="Times New Roman"/>
          <w:iCs/>
          <w:color w:val="000000"/>
          <w:sz w:val="26"/>
          <w:szCs w:val="26"/>
        </w:rPr>
        <w:t>all</w:t>
      </w:r>
      <w:r w:rsidRPr="003A75E6">
        <w:rPr>
          <w:rFonts w:eastAsia="Times New Roman"/>
          <w:i/>
          <w:iCs/>
          <w:color w:val="000000"/>
          <w:sz w:val="26"/>
          <w:szCs w:val="26"/>
        </w:rPr>
        <w:t xml:space="preserve"> </w:t>
      </w:r>
      <w:r w:rsidRPr="003A75E6">
        <w:rPr>
          <w:rFonts w:eastAsia="Times New Roman"/>
          <w:color w:val="000000"/>
          <w:sz w:val="26"/>
          <w:szCs w:val="26"/>
        </w:rPr>
        <w:t xml:space="preserve">geographic markets and </w:t>
      </w:r>
      <w:r w:rsidRPr="003A75E6">
        <w:rPr>
          <w:rFonts w:eastAsia="Times New Roman"/>
          <w:iCs/>
          <w:color w:val="000000"/>
          <w:sz w:val="26"/>
          <w:szCs w:val="26"/>
        </w:rPr>
        <w:t>all</w:t>
      </w:r>
      <w:r w:rsidRPr="003A75E6">
        <w:rPr>
          <w:rFonts w:eastAsia="Times New Roman"/>
          <w:i/>
          <w:iCs/>
          <w:color w:val="000000"/>
          <w:sz w:val="26"/>
          <w:szCs w:val="26"/>
        </w:rPr>
        <w:t xml:space="preserve"> </w:t>
      </w:r>
      <w:r w:rsidRPr="003A75E6">
        <w:rPr>
          <w:rFonts w:eastAsia="Times New Roman"/>
          <w:color w:val="000000"/>
          <w:sz w:val="26"/>
          <w:szCs w:val="26"/>
        </w:rPr>
        <w:t xml:space="preserve">telecommunications market segments forbearance from the requirements to provide </w:t>
      </w:r>
      <w:r w:rsidRPr="003A75E6">
        <w:rPr>
          <w:rFonts w:eastAsia="Times New Roman"/>
          <w:iCs/>
          <w:color w:val="000000"/>
          <w:sz w:val="26"/>
          <w:szCs w:val="26"/>
        </w:rPr>
        <w:t>all</w:t>
      </w:r>
      <w:r w:rsidRPr="003A75E6">
        <w:rPr>
          <w:rFonts w:eastAsia="Times New Roman"/>
          <w:i/>
          <w:iCs/>
          <w:color w:val="000000"/>
          <w:sz w:val="26"/>
          <w:szCs w:val="26"/>
        </w:rPr>
        <w:t xml:space="preserve"> </w:t>
      </w:r>
      <w:r w:rsidRPr="003A75E6">
        <w:rPr>
          <w:rFonts w:eastAsia="Times New Roman"/>
          <w:iCs/>
          <w:color w:val="000000"/>
          <w:sz w:val="26"/>
          <w:szCs w:val="26"/>
        </w:rPr>
        <w:t>unbundled network elements</w:t>
      </w:r>
      <w:r w:rsidRPr="003A75E6">
        <w:rPr>
          <w:rFonts w:eastAsia="Times New Roman"/>
          <w:color w:val="000000"/>
          <w:sz w:val="26"/>
          <w:szCs w:val="26"/>
        </w:rPr>
        <w:t xml:space="preserve"> and services for resale at wholesale rates pursuant to Section 251(c).</w:t>
      </w:r>
      <w:r w:rsidR="001E7F55" w:rsidRPr="003A75E6">
        <w:rPr>
          <w:rStyle w:val="FootnoteReference"/>
          <w:rFonts w:eastAsia="Times New Roman"/>
          <w:color w:val="000000"/>
          <w:sz w:val="26"/>
          <w:szCs w:val="26"/>
        </w:rPr>
        <w:footnoteReference w:id="8"/>
      </w:r>
      <w:r w:rsidRPr="003A75E6">
        <w:rPr>
          <w:rFonts w:eastAsia="Times New Roman"/>
          <w:color w:val="000000"/>
          <w:sz w:val="26"/>
          <w:szCs w:val="26"/>
        </w:rPr>
        <w:t xml:space="preserve">  </w:t>
      </w:r>
    </w:p>
    <w:p w:rsidR="00B22E25" w:rsidRPr="003A75E6" w:rsidRDefault="00B22E25" w:rsidP="003A75E6">
      <w:pPr>
        <w:autoSpaceDE w:val="0"/>
        <w:autoSpaceDN w:val="0"/>
        <w:adjustRightInd w:val="0"/>
        <w:rPr>
          <w:rFonts w:eastAsia="Times New Roman"/>
          <w:b/>
          <w:color w:val="000000"/>
          <w:spacing w:val="-2"/>
          <w:sz w:val="26"/>
          <w:szCs w:val="26"/>
        </w:rPr>
      </w:pPr>
    </w:p>
    <w:p w:rsidR="00786ABC" w:rsidRPr="003A75E6" w:rsidRDefault="00B22E25" w:rsidP="003A75E6">
      <w:pPr>
        <w:autoSpaceDE w:val="0"/>
        <w:autoSpaceDN w:val="0"/>
        <w:adjustRightInd w:val="0"/>
        <w:rPr>
          <w:rFonts w:eastAsia="Times New Roman"/>
          <w:color w:val="000000"/>
          <w:spacing w:val="-2"/>
          <w:sz w:val="26"/>
          <w:szCs w:val="26"/>
        </w:rPr>
      </w:pPr>
      <w:r w:rsidRPr="003A75E6">
        <w:rPr>
          <w:rFonts w:eastAsia="Times New Roman"/>
          <w:color w:val="000000"/>
          <w:spacing w:val="-2"/>
          <w:sz w:val="26"/>
          <w:szCs w:val="26"/>
        </w:rPr>
        <w:tab/>
      </w:r>
      <w:r w:rsidR="005A028A" w:rsidRPr="003A75E6">
        <w:rPr>
          <w:color w:val="000000"/>
          <w:sz w:val="26"/>
          <w:szCs w:val="26"/>
        </w:rPr>
        <w:t>Essentially, USTelecom is requesting forbearance from the unbundling obligations so that its members’ network</w:t>
      </w:r>
      <w:r w:rsidR="00363EFA" w:rsidRPr="003A75E6">
        <w:rPr>
          <w:color w:val="000000"/>
          <w:sz w:val="26"/>
          <w:szCs w:val="26"/>
        </w:rPr>
        <w:t>s</w:t>
      </w:r>
      <w:r w:rsidR="005A028A" w:rsidRPr="003A75E6">
        <w:rPr>
          <w:color w:val="000000"/>
          <w:sz w:val="26"/>
          <w:szCs w:val="26"/>
        </w:rPr>
        <w:t xml:space="preserve"> can be on the same footing as the owner</w:t>
      </w:r>
      <w:r w:rsidR="00363EFA" w:rsidRPr="003A75E6">
        <w:rPr>
          <w:color w:val="000000"/>
          <w:sz w:val="26"/>
          <w:szCs w:val="26"/>
        </w:rPr>
        <w:t>s</w:t>
      </w:r>
      <w:r w:rsidR="005A028A" w:rsidRPr="003A75E6">
        <w:rPr>
          <w:color w:val="000000"/>
          <w:sz w:val="26"/>
          <w:szCs w:val="26"/>
        </w:rPr>
        <w:t xml:space="preserve"> of the other “bottleneck” network</w:t>
      </w:r>
      <w:r w:rsidR="00363EFA" w:rsidRPr="003A75E6">
        <w:rPr>
          <w:color w:val="000000"/>
          <w:sz w:val="26"/>
          <w:szCs w:val="26"/>
        </w:rPr>
        <w:t>s</w:t>
      </w:r>
      <w:r w:rsidR="005A028A" w:rsidRPr="003A75E6">
        <w:rPr>
          <w:color w:val="000000"/>
          <w:sz w:val="26"/>
          <w:szCs w:val="26"/>
        </w:rPr>
        <w:t>, that of cable companies.</w:t>
      </w:r>
      <w:r w:rsidR="00786ABC" w:rsidRPr="003A75E6">
        <w:rPr>
          <w:rStyle w:val="FootnoteReference"/>
          <w:color w:val="000000"/>
          <w:sz w:val="26"/>
          <w:szCs w:val="26"/>
        </w:rPr>
        <w:footnoteReference w:id="9"/>
      </w:r>
      <w:r w:rsidR="005A028A" w:rsidRPr="003A75E6">
        <w:rPr>
          <w:color w:val="000000"/>
          <w:sz w:val="26"/>
          <w:szCs w:val="26"/>
        </w:rPr>
        <w:t xml:space="preserve">  </w:t>
      </w:r>
      <w:r w:rsidR="00855273" w:rsidRPr="003A75E6">
        <w:rPr>
          <w:rFonts w:eastAsia="Times New Roman"/>
          <w:color w:val="000000"/>
          <w:spacing w:val="-2"/>
          <w:sz w:val="26"/>
          <w:szCs w:val="26"/>
        </w:rPr>
        <w:t xml:space="preserve">The Pa. PUC </w:t>
      </w:r>
      <w:r w:rsidR="00EA247D" w:rsidRPr="003A75E6">
        <w:rPr>
          <w:rFonts w:eastAsia="Times New Roman"/>
          <w:color w:val="000000"/>
          <w:spacing w:val="-2"/>
          <w:sz w:val="26"/>
          <w:szCs w:val="26"/>
        </w:rPr>
        <w:t xml:space="preserve">understands the ILECs’ desire for regulatory parity with the cable companies.  </w:t>
      </w:r>
      <w:r w:rsidR="000E3E54" w:rsidRPr="003A75E6">
        <w:rPr>
          <w:rFonts w:eastAsia="Times New Roman"/>
          <w:color w:val="000000"/>
          <w:spacing w:val="-2"/>
          <w:sz w:val="26"/>
          <w:szCs w:val="26"/>
        </w:rPr>
        <w:t>However</w:t>
      </w:r>
      <w:r w:rsidR="00EA247D" w:rsidRPr="003A75E6">
        <w:rPr>
          <w:rFonts w:eastAsia="Times New Roman"/>
          <w:color w:val="000000"/>
          <w:spacing w:val="-2"/>
          <w:sz w:val="26"/>
          <w:szCs w:val="26"/>
        </w:rPr>
        <w:t xml:space="preserve">, it does not change the fact that </w:t>
      </w:r>
      <w:r w:rsidR="007F06DB" w:rsidRPr="003A75E6">
        <w:rPr>
          <w:rFonts w:eastAsia="Times New Roman"/>
          <w:color w:val="000000"/>
          <w:sz w:val="26"/>
          <w:szCs w:val="26"/>
        </w:rPr>
        <w:t>there is insufficient granularity in the data submitted by the Petitioner to justify its forbearance request regarding the ILEC-specific unbundling and resale statutory mandates</w:t>
      </w:r>
      <w:r w:rsidR="00EA247D" w:rsidRPr="003A75E6">
        <w:rPr>
          <w:rFonts w:eastAsia="Times New Roman"/>
          <w:color w:val="000000"/>
          <w:spacing w:val="-2"/>
          <w:sz w:val="26"/>
          <w:szCs w:val="26"/>
        </w:rPr>
        <w:t xml:space="preserve">.  </w:t>
      </w:r>
    </w:p>
    <w:p w:rsidR="00786ABC" w:rsidRPr="003A75E6" w:rsidRDefault="00786ABC" w:rsidP="003A75E6">
      <w:pPr>
        <w:autoSpaceDE w:val="0"/>
        <w:autoSpaceDN w:val="0"/>
        <w:adjustRightInd w:val="0"/>
        <w:rPr>
          <w:rFonts w:eastAsia="Times New Roman"/>
          <w:color w:val="000000"/>
          <w:spacing w:val="-2"/>
          <w:sz w:val="26"/>
          <w:szCs w:val="26"/>
        </w:rPr>
      </w:pPr>
    </w:p>
    <w:p w:rsidR="00B22E25" w:rsidRPr="003A75E6" w:rsidRDefault="00B22E25" w:rsidP="003A75E6">
      <w:pPr>
        <w:autoSpaceDE w:val="0"/>
        <w:autoSpaceDN w:val="0"/>
        <w:adjustRightInd w:val="0"/>
        <w:ind w:firstLine="720"/>
        <w:rPr>
          <w:rFonts w:eastAsia="Times New Roman"/>
          <w:color w:val="000000"/>
          <w:spacing w:val="-2"/>
          <w:sz w:val="26"/>
          <w:szCs w:val="26"/>
        </w:rPr>
      </w:pPr>
      <w:r w:rsidRPr="003A75E6">
        <w:rPr>
          <w:rFonts w:eastAsia="Times New Roman"/>
          <w:color w:val="000000"/>
          <w:spacing w:val="-2"/>
          <w:sz w:val="26"/>
          <w:szCs w:val="26"/>
        </w:rPr>
        <w:t>The Pa. PUC agrees with the comments of MetTel</w:t>
      </w:r>
      <w:r w:rsidR="007A228D" w:rsidRPr="003A75E6">
        <w:rPr>
          <w:rFonts w:eastAsia="Times New Roman"/>
          <w:color w:val="000000"/>
          <w:spacing w:val="-2"/>
          <w:sz w:val="26"/>
          <w:szCs w:val="26"/>
        </w:rPr>
        <w:t xml:space="preserve">, Public Knowledge </w:t>
      </w:r>
      <w:r w:rsidR="002125E4" w:rsidRPr="003A75E6">
        <w:rPr>
          <w:rFonts w:eastAsia="Times New Roman"/>
          <w:color w:val="000000"/>
          <w:spacing w:val="-2"/>
          <w:sz w:val="26"/>
          <w:szCs w:val="26"/>
        </w:rPr>
        <w:t xml:space="preserve">and Granite </w:t>
      </w:r>
      <w:r w:rsidRPr="003A75E6">
        <w:rPr>
          <w:rFonts w:eastAsia="Times New Roman"/>
          <w:color w:val="000000"/>
          <w:spacing w:val="-2"/>
          <w:sz w:val="26"/>
          <w:szCs w:val="26"/>
        </w:rPr>
        <w:t xml:space="preserve">that </w:t>
      </w:r>
      <w:r w:rsidR="001B0394" w:rsidRPr="003A75E6">
        <w:rPr>
          <w:rFonts w:eastAsia="Times New Roman"/>
          <w:color w:val="000000"/>
          <w:spacing w:val="-2"/>
          <w:sz w:val="26"/>
          <w:szCs w:val="26"/>
        </w:rPr>
        <w:t xml:space="preserve">in analyzing a request for forbearance from the core local competition provisions of </w:t>
      </w:r>
      <w:r w:rsidR="009C67DD" w:rsidRPr="003A75E6">
        <w:rPr>
          <w:rFonts w:eastAsia="Times New Roman"/>
          <w:color w:val="000000"/>
          <w:spacing w:val="-2"/>
          <w:sz w:val="26"/>
          <w:szCs w:val="26"/>
        </w:rPr>
        <w:t>TA-96</w:t>
      </w:r>
      <w:r w:rsidR="001B0394" w:rsidRPr="003A75E6">
        <w:rPr>
          <w:rFonts w:eastAsia="Times New Roman"/>
          <w:color w:val="000000"/>
          <w:spacing w:val="-2"/>
          <w:sz w:val="26"/>
          <w:szCs w:val="26"/>
        </w:rPr>
        <w:t xml:space="preserve">, the Commission must apply its traditional market power test, which requires </w:t>
      </w:r>
      <w:r w:rsidR="001B0394" w:rsidRPr="003A75E6">
        <w:rPr>
          <w:rFonts w:eastAsia="Times New Roman"/>
          <w:color w:val="000000"/>
          <w:spacing w:val="-2"/>
          <w:sz w:val="26"/>
          <w:szCs w:val="26"/>
        </w:rPr>
        <w:lastRenderedPageBreak/>
        <w:t>identification of relevant product and geographic markets and an assessment of competition therein.</w:t>
      </w:r>
      <w:r w:rsidR="001B0394" w:rsidRPr="003A75E6">
        <w:rPr>
          <w:rStyle w:val="FootnoteReference"/>
          <w:rFonts w:eastAsia="Times New Roman"/>
          <w:color w:val="000000"/>
          <w:spacing w:val="-2"/>
          <w:sz w:val="26"/>
          <w:szCs w:val="26"/>
        </w:rPr>
        <w:footnoteReference w:id="10"/>
      </w:r>
      <w:r w:rsidR="007A228D" w:rsidRPr="003A75E6">
        <w:rPr>
          <w:rFonts w:eastAsia="Times New Roman"/>
          <w:color w:val="000000"/>
          <w:spacing w:val="-2"/>
          <w:sz w:val="26"/>
          <w:szCs w:val="26"/>
        </w:rPr>
        <w:t xml:space="preserve">  Citing national statistics garnered from Commission reports, USTelecom asserts that there is no remaining UNE-based competition.  However, USTelecom has not proved this claim</w:t>
      </w:r>
      <w:r w:rsidR="00EA247D" w:rsidRPr="003A75E6">
        <w:rPr>
          <w:rFonts w:eastAsia="Times New Roman"/>
          <w:color w:val="000000"/>
          <w:spacing w:val="-2"/>
          <w:sz w:val="26"/>
          <w:szCs w:val="26"/>
        </w:rPr>
        <w:t xml:space="preserve"> with any granularity</w:t>
      </w:r>
      <w:r w:rsidR="007A228D" w:rsidRPr="003A75E6">
        <w:rPr>
          <w:rFonts w:eastAsia="Times New Roman"/>
          <w:color w:val="000000"/>
          <w:spacing w:val="-2"/>
          <w:sz w:val="26"/>
          <w:szCs w:val="26"/>
        </w:rPr>
        <w:t xml:space="preserve">.  </w:t>
      </w:r>
      <w:r w:rsidR="004418BD" w:rsidRPr="003A75E6">
        <w:rPr>
          <w:rFonts w:eastAsia="Times New Roman"/>
          <w:color w:val="000000"/>
          <w:spacing w:val="-2"/>
          <w:sz w:val="26"/>
          <w:szCs w:val="26"/>
        </w:rPr>
        <w:t xml:space="preserve">As noted by INCOMPAS, USTelecom’s Petition does not differentiate between UNEs used for voice services, for data services, or </w:t>
      </w:r>
      <w:r w:rsidR="00143742" w:rsidRPr="003A75E6">
        <w:rPr>
          <w:rFonts w:eastAsia="Times New Roman"/>
          <w:color w:val="000000"/>
          <w:spacing w:val="-2"/>
          <w:sz w:val="26"/>
          <w:szCs w:val="26"/>
        </w:rPr>
        <w:t xml:space="preserve">for </w:t>
      </w:r>
      <w:r w:rsidR="004418BD" w:rsidRPr="003A75E6">
        <w:rPr>
          <w:rFonts w:eastAsia="Times New Roman"/>
          <w:color w:val="000000"/>
          <w:spacing w:val="-2"/>
          <w:sz w:val="26"/>
          <w:szCs w:val="26"/>
        </w:rPr>
        <w:t xml:space="preserve">bundled services.  As a result, the numbers cited by the Petition in support of its claim that there is robust competition likewise do not identify specific relevant product markets.  </w:t>
      </w:r>
      <w:r w:rsidR="00D261AD" w:rsidRPr="003A75E6">
        <w:rPr>
          <w:rFonts w:eastAsia="Times New Roman"/>
          <w:color w:val="000000"/>
          <w:spacing w:val="-2"/>
          <w:sz w:val="26"/>
          <w:szCs w:val="26"/>
        </w:rPr>
        <w:t>Furthermore, as noted by the Michigan Public Service Commission, VoIP, which requires a broadband connection, is not available in all areas of every state as many rural areas are unserved by broadband providers.</w:t>
      </w:r>
      <w:r w:rsidR="00984E7C" w:rsidRPr="003A75E6">
        <w:rPr>
          <w:rStyle w:val="FootnoteReference"/>
          <w:rFonts w:eastAsia="Times New Roman"/>
          <w:color w:val="000000"/>
          <w:spacing w:val="-2"/>
          <w:sz w:val="26"/>
          <w:szCs w:val="26"/>
        </w:rPr>
        <w:footnoteReference w:id="11"/>
      </w:r>
      <w:r w:rsidR="00993894" w:rsidRPr="003A75E6">
        <w:rPr>
          <w:rFonts w:eastAsia="Times New Roman"/>
          <w:color w:val="000000"/>
          <w:spacing w:val="-2"/>
          <w:sz w:val="26"/>
          <w:szCs w:val="26"/>
        </w:rPr>
        <w:t xml:space="preserve">  </w:t>
      </w:r>
      <w:r w:rsidR="004418BD" w:rsidRPr="003A75E6">
        <w:rPr>
          <w:rFonts w:eastAsia="Times New Roman"/>
          <w:color w:val="000000"/>
          <w:spacing w:val="-2"/>
          <w:sz w:val="26"/>
          <w:szCs w:val="26"/>
        </w:rPr>
        <w:t xml:space="preserve">As </w:t>
      </w:r>
      <w:r w:rsidR="00D261AD" w:rsidRPr="003A75E6">
        <w:rPr>
          <w:rFonts w:eastAsia="Times New Roman"/>
          <w:color w:val="000000"/>
          <w:spacing w:val="-2"/>
          <w:sz w:val="26"/>
          <w:szCs w:val="26"/>
        </w:rPr>
        <w:t xml:space="preserve">the Pa. PUC </w:t>
      </w:r>
      <w:r w:rsidR="004418BD" w:rsidRPr="003A75E6">
        <w:rPr>
          <w:rFonts w:eastAsia="Times New Roman"/>
          <w:color w:val="000000"/>
          <w:spacing w:val="-2"/>
          <w:sz w:val="26"/>
          <w:szCs w:val="26"/>
        </w:rPr>
        <w:t xml:space="preserve">previously stated in </w:t>
      </w:r>
      <w:r w:rsidR="00D261AD" w:rsidRPr="003A75E6">
        <w:rPr>
          <w:rFonts w:eastAsia="Times New Roman"/>
          <w:color w:val="000000"/>
          <w:spacing w:val="-2"/>
          <w:sz w:val="26"/>
          <w:szCs w:val="26"/>
        </w:rPr>
        <w:t xml:space="preserve">its </w:t>
      </w:r>
      <w:r w:rsidR="004418BD" w:rsidRPr="003A75E6">
        <w:rPr>
          <w:rFonts w:eastAsia="Times New Roman"/>
          <w:color w:val="000000"/>
          <w:spacing w:val="-2"/>
          <w:sz w:val="26"/>
          <w:szCs w:val="26"/>
        </w:rPr>
        <w:t>comments, at the very least, USTelecom must support its claims with additional state-specific information before the Commission should even consider granting this forbearance request.</w:t>
      </w:r>
    </w:p>
    <w:p w:rsidR="001B0394" w:rsidRPr="003A75E6" w:rsidRDefault="001B0394" w:rsidP="003A75E6">
      <w:pPr>
        <w:autoSpaceDE w:val="0"/>
        <w:autoSpaceDN w:val="0"/>
        <w:adjustRightInd w:val="0"/>
        <w:rPr>
          <w:rFonts w:eastAsia="Times New Roman"/>
          <w:b/>
          <w:color w:val="000000"/>
          <w:spacing w:val="-2"/>
          <w:sz w:val="26"/>
          <w:szCs w:val="26"/>
        </w:rPr>
      </w:pPr>
    </w:p>
    <w:p w:rsidR="003C2785" w:rsidRPr="003A75E6" w:rsidRDefault="005A5DAF" w:rsidP="003A75E6">
      <w:pPr>
        <w:autoSpaceDE w:val="0"/>
        <w:autoSpaceDN w:val="0"/>
        <w:adjustRightInd w:val="0"/>
        <w:rPr>
          <w:rFonts w:eastAsia="Times New Roman"/>
          <w:b/>
          <w:color w:val="000000"/>
          <w:sz w:val="26"/>
          <w:szCs w:val="26"/>
        </w:rPr>
      </w:pPr>
      <w:r w:rsidRPr="003A75E6">
        <w:rPr>
          <w:rFonts w:eastAsia="Times New Roman"/>
          <w:b/>
          <w:color w:val="000000"/>
          <w:spacing w:val="-2"/>
          <w:sz w:val="26"/>
          <w:szCs w:val="26"/>
        </w:rPr>
        <w:t>Conclusion</w:t>
      </w:r>
    </w:p>
    <w:p w:rsidR="003066AC" w:rsidRPr="003A75E6" w:rsidRDefault="004D3C01" w:rsidP="003A75E6">
      <w:pPr>
        <w:autoSpaceDE w:val="0"/>
        <w:autoSpaceDN w:val="0"/>
        <w:adjustRightInd w:val="0"/>
        <w:ind w:firstLine="720"/>
        <w:rPr>
          <w:rFonts w:eastAsia="Times New Roman"/>
          <w:color w:val="000000"/>
          <w:sz w:val="26"/>
          <w:szCs w:val="26"/>
        </w:rPr>
      </w:pPr>
      <w:r w:rsidRPr="003A75E6">
        <w:rPr>
          <w:rFonts w:eastAsia="Times New Roman"/>
          <w:color w:val="000000"/>
          <w:sz w:val="26"/>
          <w:szCs w:val="26"/>
        </w:rPr>
        <w:t>T</w:t>
      </w:r>
      <w:r w:rsidR="0006161B" w:rsidRPr="003A75E6">
        <w:rPr>
          <w:rFonts w:eastAsia="Times New Roman"/>
          <w:color w:val="000000"/>
          <w:sz w:val="26"/>
          <w:szCs w:val="26"/>
        </w:rPr>
        <w:t xml:space="preserve">he </w:t>
      </w:r>
      <w:r w:rsidR="009E0C06" w:rsidRPr="003A75E6">
        <w:rPr>
          <w:rFonts w:eastAsia="Times New Roman"/>
          <w:color w:val="000000"/>
          <w:sz w:val="26"/>
          <w:szCs w:val="26"/>
        </w:rPr>
        <w:t>Pa. PUC</w:t>
      </w:r>
      <w:r w:rsidR="0006161B" w:rsidRPr="003A75E6">
        <w:rPr>
          <w:rFonts w:eastAsia="Times New Roman"/>
          <w:color w:val="000000"/>
          <w:sz w:val="26"/>
          <w:szCs w:val="26"/>
        </w:rPr>
        <w:t xml:space="preserve"> oppos</w:t>
      </w:r>
      <w:r w:rsidRPr="003A75E6">
        <w:rPr>
          <w:rFonts w:eastAsia="Times New Roman"/>
          <w:color w:val="000000"/>
          <w:sz w:val="26"/>
          <w:szCs w:val="26"/>
        </w:rPr>
        <w:t>es</w:t>
      </w:r>
      <w:r w:rsidR="0006161B" w:rsidRPr="003A75E6">
        <w:rPr>
          <w:rFonts w:eastAsia="Times New Roman"/>
          <w:color w:val="000000"/>
          <w:sz w:val="26"/>
          <w:szCs w:val="26"/>
        </w:rPr>
        <w:t xml:space="preserve"> USTelecom’s request for forbearance from </w:t>
      </w:r>
      <w:r w:rsidRPr="003A75E6">
        <w:rPr>
          <w:rFonts w:eastAsia="Times New Roman"/>
          <w:color w:val="000000"/>
          <w:sz w:val="26"/>
          <w:szCs w:val="26"/>
        </w:rPr>
        <w:t>Section 25</w:t>
      </w:r>
      <w:r w:rsidR="00E26C82" w:rsidRPr="003A75E6">
        <w:rPr>
          <w:rFonts w:eastAsia="Times New Roman"/>
          <w:color w:val="000000"/>
          <w:sz w:val="26"/>
          <w:szCs w:val="26"/>
        </w:rPr>
        <w:t>1(c) and related Section 25</w:t>
      </w:r>
      <w:r w:rsidRPr="003A75E6">
        <w:rPr>
          <w:rFonts w:eastAsia="Times New Roman"/>
          <w:color w:val="000000"/>
          <w:sz w:val="26"/>
          <w:szCs w:val="26"/>
        </w:rPr>
        <w:t xml:space="preserve">2 </w:t>
      </w:r>
      <w:r w:rsidR="0006161B" w:rsidRPr="003A75E6">
        <w:rPr>
          <w:rFonts w:eastAsia="Times New Roman"/>
          <w:color w:val="000000"/>
          <w:sz w:val="26"/>
          <w:szCs w:val="26"/>
        </w:rPr>
        <w:t>requirements</w:t>
      </w:r>
      <w:r w:rsidRPr="003A75E6">
        <w:rPr>
          <w:rFonts w:eastAsia="Times New Roman"/>
          <w:color w:val="000000"/>
          <w:sz w:val="26"/>
          <w:szCs w:val="26"/>
        </w:rPr>
        <w:t>.</w:t>
      </w:r>
      <w:r w:rsidR="0006161B" w:rsidRPr="003A75E6">
        <w:rPr>
          <w:rFonts w:eastAsia="Times New Roman"/>
          <w:color w:val="000000"/>
          <w:sz w:val="26"/>
          <w:szCs w:val="26"/>
        </w:rPr>
        <w:t xml:space="preserve"> </w:t>
      </w:r>
      <w:r w:rsidR="00D9117B" w:rsidRPr="003A75E6">
        <w:rPr>
          <w:rFonts w:eastAsia="Times New Roman"/>
          <w:color w:val="000000"/>
          <w:sz w:val="26"/>
          <w:szCs w:val="26"/>
        </w:rPr>
        <w:t xml:space="preserve"> </w:t>
      </w:r>
      <w:r w:rsidR="00BD6F39" w:rsidRPr="003A75E6">
        <w:rPr>
          <w:rFonts w:eastAsia="Times New Roman"/>
          <w:color w:val="000000"/>
          <w:sz w:val="26"/>
          <w:szCs w:val="26"/>
        </w:rPr>
        <w:t>Until the Commission has conducted an</w:t>
      </w:r>
      <w:r w:rsidR="003066AC" w:rsidRPr="003A75E6">
        <w:rPr>
          <w:rFonts w:eastAsia="Times New Roman"/>
          <w:color w:val="000000"/>
          <w:sz w:val="26"/>
          <w:szCs w:val="26"/>
        </w:rPr>
        <w:t xml:space="preserve"> </w:t>
      </w:r>
      <w:r w:rsidR="00BD6F39" w:rsidRPr="003A75E6">
        <w:rPr>
          <w:rFonts w:eastAsia="Times New Roman"/>
          <w:color w:val="000000"/>
          <w:sz w:val="26"/>
          <w:szCs w:val="26"/>
        </w:rPr>
        <w:t xml:space="preserve">impairment analysis under Section 252(d)(1) of </w:t>
      </w:r>
      <w:r w:rsidR="00B22D4F" w:rsidRPr="003A75E6">
        <w:rPr>
          <w:rFonts w:eastAsia="Times New Roman"/>
          <w:color w:val="000000"/>
          <w:sz w:val="26"/>
          <w:szCs w:val="26"/>
        </w:rPr>
        <w:t>TA-96</w:t>
      </w:r>
      <w:r w:rsidR="00BD6F39" w:rsidRPr="003A75E6">
        <w:rPr>
          <w:rFonts w:eastAsia="Times New Roman"/>
          <w:color w:val="000000"/>
          <w:sz w:val="26"/>
          <w:szCs w:val="26"/>
        </w:rPr>
        <w:t xml:space="preserve">, </w:t>
      </w:r>
      <w:r w:rsidR="00EF3A42" w:rsidRPr="003A75E6">
        <w:rPr>
          <w:rFonts w:eastAsia="Times New Roman"/>
          <w:color w:val="000000"/>
          <w:sz w:val="26"/>
          <w:szCs w:val="26"/>
        </w:rPr>
        <w:t xml:space="preserve">or in the alternative, should the Commission decide to proceed under forbearance, until USTelecom provides sufficient granular support to warrant </w:t>
      </w:r>
      <w:r w:rsidR="008062A6" w:rsidRPr="003A75E6">
        <w:rPr>
          <w:rFonts w:eastAsia="Times New Roman"/>
          <w:color w:val="000000"/>
          <w:sz w:val="26"/>
          <w:szCs w:val="26"/>
        </w:rPr>
        <w:t>forbearance of Section 2</w:t>
      </w:r>
      <w:r w:rsidR="00BD6F39" w:rsidRPr="003A75E6">
        <w:rPr>
          <w:rFonts w:eastAsia="Times New Roman"/>
          <w:color w:val="000000"/>
          <w:sz w:val="26"/>
          <w:szCs w:val="26"/>
        </w:rPr>
        <w:t>51(c)(3) and (</w:t>
      </w:r>
      <w:r w:rsidR="008062A6" w:rsidRPr="003A75E6">
        <w:rPr>
          <w:rFonts w:eastAsia="Times New Roman"/>
          <w:color w:val="000000"/>
          <w:sz w:val="26"/>
          <w:szCs w:val="26"/>
        </w:rPr>
        <w:t xml:space="preserve">4) obligations </w:t>
      </w:r>
      <w:r w:rsidR="00EF3A42" w:rsidRPr="003A75E6">
        <w:rPr>
          <w:rFonts w:eastAsia="Times New Roman"/>
          <w:color w:val="000000"/>
          <w:sz w:val="26"/>
          <w:szCs w:val="26"/>
        </w:rPr>
        <w:t>by specific company</w:t>
      </w:r>
      <w:r w:rsidR="003066AC" w:rsidRPr="003A75E6">
        <w:rPr>
          <w:rFonts w:eastAsia="Times New Roman"/>
          <w:color w:val="000000"/>
          <w:sz w:val="26"/>
          <w:szCs w:val="26"/>
        </w:rPr>
        <w:t xml:space="preserve">, </w:t>
      </w:r>
      <w:r w:rsidR="00EF3A42" w:rsidRPr="003A75E6">
        <w:rPr>
          <w:rFonts w:eastAsia="Times New Roman"/>
          <w:color w:val="000000"/>
          <w:sz w:val="26"/>
          <w:szCs w:val="26"/>
        </w:rPr>
        <w:t xml:space="preserve">territory, </w:t>
      </w:r>
      <w:r w:rsidR="003066AC" w:rsidRPr="003A75E6">
        <w:rPr>
          <w:rFonts w:eastAsia="Times New Roman"/>
          <w:color w:val="000000"/>
          <w:sz w:val="26"/>
          <w:szCs w:val="26"/>
        </w:rPr>
        <w:t xml:space="preserve">and market, </w:t>
      </w:r>
      <w:r w:rsidR="00EF3A42" w:rsidRPr="003A75E6">
        <w:rPr>
          <w:rFonts w:eastAsia="Times New Roman"/>
          <w:color w:val="000000"/>
          <w:sz w:val="26"/>
          <w:szCs w:val="26"/>
        </w:rPr>
        <w:t xml:space="preserve">the </w:t>
      </w:r>
      <w:r w:rsidR="003066AC" w:rsidRPr="003A75E6">
        <w:rPr>
          <w:rFonts w:eastAsia="Times New Roman"/>
          <w:color w:val="000000"/>
          <w:sz w:val="26"/>
          <w:szCs w:val="26"/>
        </w:rPr>
        <w:t xml:space="preserve">Commission </w:t>
      </w:r>
      <w:r w:rsidR="00BD6F39" w:rsidRPr="003A75E6">
        <w:rPr>
          <w:rFonts w:eastAsia="Times New Roman"/>
          <w:color w:val="000000"/>
          <w:sz w:val="26"/>
          <w:szCs w:val="26"/>
        </w:rPr>
        <w:t xml:space="preserve">should </w:t>
      </w:r>
      <w:r w:rsidR="008062A6" w:rsidRPr="003A75E6">
        <w:rPr>
          <w:rFonts w:eastAsia="Times New Roman"/>
          <w:color w:val="000000"/>
          <w:sz w:val="26"/>
          <w:szCs w:val="26"/>
        </w:rPr>
        <w:t xml:space="preserve">not </w:t>
      </w:r>
      <w:r w:rsidR="00EF3A42" w:rsidRPr="003A75E6">
        <w:rPr>
          <w:rFonts w:eastAsia="Times New Roman"/>
          <w:color w:val="000000"/>
          <w:sz w:val="26"/>
          <w:szCs w:val="26"/>
        </w:rPr>
        <w:t xml:space="preserve">grant USTelecom’s blanket request to allow relinquishment of </w:t>
      </w:r>
      <w:r w:rsidR="00BD6F39" w:rsidRPr="003A75E6">
        <w:rPr>
          <w:rFonts w:eastAsia="Times New Roman"/>
          <w:color w:val="000000"/>
          <w:sz w:val="26"/>
          <w:szCs w:val="26"/>
        </w:rPr>
        <w:t xml:space="preserve">unbundling or resale </w:t>
      </w:r>
      <w:r w:rsidR="008062A6" w:rsidRPr="003A75E6">
        <w:rPr>
          <w:rFonts w:eastAsia="Times New Roman"/>
          <w:color w:val="000000"/>
          <w:sz w:val="26"/>
          <w:szCs w:val="26"/>
        </w:rPr>
        <w:t xml:space="preserve">obligations </w:t>
      </w:r>
      <w:r w:rsidR="00EF3A42" w:rsidRPr="003A75E6">
        <w:rPr>
          <w:rFonts w:eastAsia="Times New Roman"/>
          <w:color w:val="000000"/>
          <w:sz w:val="26"/>
          <w:szCs w:val="26"/>
        </w:rPr>
        <w:t xml:space="preserve">currently </w:t>
      </w:r>
      <w:r w:rsidR="00BD6F39" w:rsidRPr="003A75E6">
        <w:rPr>
          <w:rFonts w:eastAsia="Times New Roman"/>
          <w:color w:val="000000"/>
          <w:sz w:val="26"/>
          <w:szCs w:val="26"/>
        </w:rPr>
        <w:t xml:space="preserve">imposed on </w:t>
      </w:r>
      <w:r w:rsidR="008062A6" w:rsidRPr="003A75E6">
        <w:rPr>
          <w:rFonts w:eastAsia="Times New Roman"/>
          <w:color w:val="000000"/>
          <w:sz w:val="26"/>
          <w:szCs w:val="26"/>
        </w:rPr>
        <w:t>ILEC</w:t>
      </w:r>
      <w:r w:rsidR="00BD6F39" w:rsidRPr="003A75E6">
        <w:rPr>
          <w:rFonts w:eastAsia="Times New Roman"/>
          <w:color w:val="000000"/>
          <w:sz w:val="26"/>
          <w:szCs w:val="26"/>
        </w:rPr>
        <w:t>s</w:t>
      </w:r>
      <w:r w:rsidR="00034C89" w:rsidRPr="003A75E6">
        <w:rPr>
          <w:rFonts w:eastAsia="Times New Roman"/>
          <w:color w:val="000000"/>
          <w:sz w:val="26"/>
          <w:szCs w:val="26"/>
        </w:rPr>
        <w:t xml:space="preserve">.  </w:t>
      </w:r>
    </w:p>
    <w:p w:rsidR="004418BD" w:rsidRPr="003A75E6" w:rsidRDefault="004418BD" w:rsidP="003A75E6">
      <w:pPr>
        <w:ind w:firstLine="720"/>
        <w:textAlignment w:val="baseline"/>
        <w:rPr>
          <w:rFonts w:eastAsia="Times New Roman"/>
          <w:color w:val="000000"/>
          <w:sz w:val="26"/>
          <w:szCs w:val="26"/>
        </w:rPr>
      </w:pPr>
    </w:p>
    <w:p w:rsidR="001E7F55" w:rsidRPr="003A75E6" w:rsidRDefault="001E7F55" w:rsidP="003A75E6">
      <w:pPr>
        <w:rPr>
          <w:rFonts w:eastAsia="Times New Roman"/>
          <w:color w:val="000000"/>
          <w:sz w:val="26"/>
          <w:szCs w:val="26"/>
        </w:rPr>
      </w:pPr>
      <w:r w:rsidRPr="003A75E6">
        <w:rPr>
          <w:rFonts w:eastAsia="Times New Roman"/>
          <w:color w:val="000000"/>
          <w:sz w:val="26"/>
          <w:szCs w:val="26"/>
        </w:rPr>
        <w:br w:type="page"/>
      </w:r>
    </w:p>
    <w:p w:rsidR="00517DFA" w:rsidRPr="003A75E6" w:rsidRDefault="008921B1" w:rsidP="003A75E6">
      <w:pPr>
        <w:ind w:firstLine="720"/>
        <w:textAlignment w:val="baseline"/>
        <w:rPr>
          <w:rFonts w:eastAsia="Times New Roman"/>
          <w:color w:val="000000"/>
          <w:sz w:val="26"/>
          <w:szCs w:val="26"/>
        </w:rPr>
      </w:pPr>
      <w:r w:rsidRPr="003A75E6">
        <w:rPr>
          <w:rFonts w:eastAsia="Times New Roman"/>
          <w:color w:val="000000"/>
          <w:sz w:val="26"/>
          <w:szCs w:val="26"/>
        </w:rPr>
        <w:lastRenderedPageBreak/>
        <w:t>T</w:t>
      </w:r>
      <w:r w:rsidR="009B298B" w:rsidRPr="003A75E6">
        <w:rPr>
          <w:rFonts w:eastAsia="Times New Roman"/>
          <w:color w:val="000000"/>
          <w:sz w:val="26"/>
          <w:szCs w:val="26"/>
        </w:rPr>
        <w:t>he</w:t>
      </w:r>
      <w:r w:rsidR="00597FF6" w:rsidRPr="003A75E6">
        <w:rPr>
          <w:rFonts w:eastAsia="Times New Roman"/>
          <w:color w:val="000000"/>
          <w:sz w:val="26"/>
          <w:szCs w:val="26"/>
        </w:rPr>
        <w:t xml:space="preserve"> Pa. PUC appreciates this opportunity to file </w:t>
      </w:r>
      <w:r w:rsidR="00D40E06" w:rsidRPr="003A75E6">
        <w:rPr>
          <w:rFonts w:eastAsia="Times New Roman"/>
          <w:color w:val="000000"/>
          <w:sz w:val="26"/>
          <w:szCs w:val="26"/>
        </w:rPr>
        <w:t xml:space="preserve">reply </w:t>
      </w:r>
      <w:r w:rsidR="00EF3A42" w:rsidRPr="003A75E6">
        <w:rPr>
          <w:rFonts w:eastAsia="Times New Roman"/>
          <w:color w:val="000000"/>
          <w:sz w:val="26"/>
          <w:szCs w:val="26"/>
        </w:rPr>
        <w:t>c</w:t>
      </w:r>
      <w:r w:rsidR="00597FF6" w:rsidRPr="003A75E6">
        <w:rPr>
          <w:rFonts w:eastAsia="Times New Roman"/>
          <w:color w:val="000000"/>
          <w:sz w:val="26"/>
          <w:szCs w:val="26"/>
        </w:rPr>
        <w:t>omments in this proceeding.</w:t>
      </w:r>
    </w:p>
    <w:p w:rsidR="00FA032A" w:rsidRPr="003A75E6" w:rsidRDefault="00FA032A" w:rsidP="003A75E6">
      <w:pPr>
        <w:spacing w:line="240" w:lineRule="auto"/>
        <w:ind w:left="4320" w:firstLine="720"/>
        <w:textAlignment w:val="baseline"/>
        <w:rPr>
          <w:rFonts w:eastAsia="Times New Roman"/>
          <w:color w:val="000000"/>
          <w:sz w:val="26"/>
          <w:szCs w:val="26"/>
        </w:rPr>
      </w:pPr>
      <w:r w:rsidRPr="003A75E6">
        <w:rPr>
          <w:rFonts w:eastAsia="Times New Roman"/>
          <w:color w:val="000000"/>
          <w:sz w:val="26"/>
          <w:szCs w:val="26"/>
        </w:rPr>
        <w:t>Respectfully submitted,</w:t>
      </w:r>
    </w:p>
    <w:p w:rsidR="00FA032A" w:rsidRPr="003A75E6" w:rsidRDefault="00FA032A" w:rsidP="003A75E6">
      <w:pPr>
        <w:spacing w:line="240" w:lineRule="auto"/>
        <w:ind w:left="5040" w:firstLine="720"/>
        <w:textAlignment w:val="baseline"/>
        <w:rPr>
          <w:rFonts w:eastAsia="Times New Roman"/>
          <w:color w:val="000000"/>
          <w:sz w:val="26"/>
          <w:szCs w:val="26"/>
        </w:rPr>
      </w:pPr>
    </w:p>
    <w:p w:rsidR="00FA032A" w:rsidRPr="003A75E6" w:rsidRDefault="00FA032A" w:rsidP="003A75E6">
      <w:pPr>
        <w:spacing w:line="240" w:lineRule="auto"/>
        <w:textAlignment w:val="baseline"/>
        <w:rPr>
          <w:rFonts w:eastAsia="Times New Roman"/>
          <w:color w:val="000000"/>
          <w:sz w:val="26"/>
          <w:szCs w:val="26"/>
        </w:rPr>
      </w:pP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005A5DAF" w:rsidRPr="003A75E6">
        <w:rPr>
          <w:rFonts w:eastAsia="Times New Roman"/>
          <w:color w:val="000000"/>
          <w:sz w:val="26"/>
          <w:szCs w:val="26"/>
          <w:u w:val="single"/>
        </w:rPr>
        <w:t>/s/ David E. Screven</w:t>
      </w:r>
      <w:r w:rsidRPr="003A75E6">
        <w:rPr>
          <w:rFonts w:eastAsia="Times New Roman"/>
          <w:color w:val="000000"/>
          <w:sz w:val="26"/>
          <w:szCs w:val="26"/>
        </w:rPr>
        <w:t xml:space="preserve"> </w:t>
      </w:r>
    </w:p>
    <w:p w:rsidR="00FA032A" w:rsidRPr="003A75E6" w:rsidRDefault="00FA032A" w:rsidP="003A75E6">
      <w:pPr>
        <w:spacing w:line="240" w:lineRule="auto"/>
        <w:ind w:left="720"/>
        <w:textAlignment w:val="baseline"/>
        <w:rPr>
          <w:rFonts w:eastAsia="Times New Roman"/>
          <w:color w:val="000000"/>
          <w:sz w:val="26"/>
          <w:szCs w:val="26"/>
        </w:rPr>
      </w:pP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t>David E. Screven</w:t>
      </w:r>
    </w:p>
    <w:p w:rsidR="00FA032A" w:rsidRPr="003A75E6" w:rsidRDefault="00FA032A" w:rsidP="003A75E6">
      <w:pPr>
        <w:spacing w:line="240" w:lineRule="auto"/>
        <w:ind w:left="720"/>
        <w:textAlignment w:val="baseline"/>
        <w:rPr>
          <w:rFonts w:eastAsia="Times New Roman"/>
          <w:color w:val="000000"/>
          <w:sz w:val="26"/>
          <w:szCs w:val="26"/>
        </w:rPr>
      </w:pP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t>Assistant Counsel</w:t>
      </w:r>
    </w:p>
    <w:p w:rsidR="00FA032A" w:rsidRPr="003A75E6" w:rsidRDefault="00FA032A" w:rsidP="003A75E6">
      <w:pPr>
        <w:spacing w:line="240" w:lineRule="auto"/>
        <w:ind w:left="720"/>
        <w:textAlignment w:val="baseline"/>
        <w:rPr>
          <w:rFonts w:eastAsia="Times New Roman"/>
          <w:color w:val="000000"/>
          <w:sz w:val="26"/>
          <w:szCs w:val="26"/>
        </w:rPr>
      </w:pP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r>
      <w:r w:rsidRPr="003A75E6">
        <w:rPr>
          <w:rFonts w:eastAsia="Times New Roman"/>
          <w:color w:val="000000"/>
          <w:sz w:val="26"/>
          <w:szCs w:val="26"/>
        </w:rPr>
        <w:tab/>
        <w:t>Pennsylvania Public Utility Commission</w:t>
      </w:r>
    </w:p>
    <w:p w:rsidR="00FA032A" w:rsidRPr="003A75E6" w:rsidRDefault="002D373F" w:rsidP="003A75E6">
      <w:pPr>
        <w:spacing w:line="240" w:lineRule="auto"/>
        <w:ind w:left="4320" w:firstLine="720"/>
        <w:textAlignment w:val="baseline"/>
        <w:rPr>
          <w:rFonts w:eastAsia="Times New Roman"/>
          <w:color w:val="000000"/>
          <w:sz w:val="26"/>
          <w:szCs w:val="26"/>
        </w:rPr>
      </w:pPr>
      <w:r w:rsidRPr="003A75E6">
        <w:rPr>
          <w:rFonts w:eastAsia="Times New Roman"/>
          <w:color w:val="000000"/>
          <w:sz w:val="26"/>
          <w:szCs w:val="26"/>
        </w:rPr>
        <w:t>400 North Street</w:t>
      </w:r>
    </w:p>
    <w:p w:rsidR="002D373F" w:rsidRPr="003A75E6" w:rsidRDefault="002D373F" w:rsidP="003A75E6">
      <w:pPr>
        <w:spacing w:line="240" w:lineRule="auto"/>
        <w:ind w:left="4320" w:firstLine="720"/>
        <w:textAlignment w:val="baseline"/>
        <w:rPr>
          <w:rFonts w:eastAsia="Times New Roman"/>
          <w:color w:val="000000"/>
          <w:sz w:val="26"/>
          <w:szCs w:val="26"/>
        </w:rPr>
      </w:pPr>
      <w:r w:rsidRPr="003A75E6">
        <w:rPr>
          <w:rFonts w:eastAsia="Times New Roman"/>
          <w:color w:val="000000"/>
          <w:sz w:val="26"/>
          <w:szCs w:val="26"/>
        </w:rPr>
        <w:t>Harrisburg, PA 17120</w:t>
      </w:r>
    </w:p>
    <w:p w:rsidR="00FA032A" w:rsidRPr="003A75E6" w:rsidRDefault="00FA032A" w:rsidP="003A75E6">
      <w:pPr>
        <w:spacing w:line="240" w:lineRule="auto"/>
        <w:ind w:left="720"/>
        <w:textAlignment w:val="baseline"/>
        <w:rPr>
          <w:rFonts w:eastAsia="Times New Roman"/>
          <w:color w:val="000000"/>
          <w:sz w:val="26"/>
          <w:szCs w:val="26"/>
        </w:rPr>
      </w:pPr>
    </w:p>
    <w:p w:rsidR="004418BD" w:rsidRPr="003A75E6" w:rsidRDefault="004418BD" w:rsidP="003A75E6">
      <w:pPr>
        <w:spacing w:line="240" w:lineRule="auto"/>
        <w:ind w:left="720"/>
        <w:textAlignment w:val="baseline"/>
        <w:rPr>
          <w:rFonts w:eastAsia="Times New Roman"/>
          <w:color w:val="000000"/>
          <w:sz w:val="26"/>
          <w:szCs w:val="26"/>
        </w:rPr>
      </w:pPr>
    </w:p>
    <w:p w:rsidR="00EF3A42" w:rsidRPr="003A75E6" w:rsidRDefault="00FA032A" w:rsidP="003A75E6">
      <w:pPr>
        <w:spacing w:line="240" w:lineRule="auto"/>
        <w:textAlignment w:val="baseline"/>
        <w:rPr>
          <w:rFonts w:eastAsia="Times New Roman"/>
          <w:color w:val="000000"/>
          <w:sz w:val="26"/>
          <w:szCs w:val="26"/>
        </w:rPr>
      </w:pPr>
      <w:r w:rsidRPr="003A75E6">
        <w:rPr>
          <w:rFonts w:eastAsia="Times New Roman"/>
          <w:color w:val="000000"/>
          <w:sz w:val="26"/>
          <w:szCs w:val="26"/>
        </w:rPr>
        <w:t xml:space="preserve">Dated:  </w:t>
      </w:r>
      <w:r w:rsidR="00D40E06" w:rsidRPr="003A75E6">
        <w:rPr>
          <w:rFonts w:eastAsia="Times New Roman"/>
          <w:color w:val="000000"/>
          <w:sz w:val="26"/>
          <w:szCs w:val="26"/>
        </w:rPr>
        <w:t>September 5</w:t>
      </w:r>
      <w:r w:rsidR="008921B1" w:rsidRPr="003A75E6">
        <w:rPr>
          <w:rFonts w:eastAsia="Times New Roman"/>
          <w:color w:val="000000"/>
          <w:sz w:val="26"/>
          <w:szCs w:val="26"/>
        </w:rPr>
        <w:t>, 2018</w:t>
      </w:r>
    </w:p>
    <w:sectPr w:rsidR="00EF3A42" w:rsidRPr="003A75E6" w:rsidSect="00217C3E">
      <w:footerReference w:type="default" r:id="rId8"/>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696" w:rsidRDefault="00172696" w:rsidP="0058414B">
      <w:r>
        <w:separator/>
      </w:r>
    </w:p>
  </w:endnote>
  <w:endnote w:type="continuationSeparator" w:id="0">
    <w:p w:rsidR="00172696" w:rsidRDefault="00172696" w:rsidP="0058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1963710"/>
      <w:docPartObj>
        <w:docPartGallery w:val="Page Numbers (Bottom of Page)"/>
        <w:docPartUnique/>
      </w:docPartObj>
    </w:sdtPr>
    <w:sdtEndPr>
      <w:rPr>
        <w:noProof/>
      </w:rPr>
    </w:sdtEndPr>
    <w:sdtContent>
      <w:p w:rsidR="001D15CC" w:rsidRDefault="001D15CC" w:rsidP="001D15C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696" w:rsidRDefault="00172696" w:rsidP="0058414B">
      <w:r>
        <w:separator/>
      </w:r>
    </w:p>
  </w:footnote>
  <w:footnote w:type="continuationSeparator" w:id="0">
    <w:p w:rsidR="00172696" w:rsidRDefault="00172696" w:rsidP="0058414B">
      <w:r>
        <w:continuationSeparator/>
      </w:r>
    </w:p>
  </w:footnote>
  <w:footnote w:id="1">
    <w:p w:rsidR="00F21285" w:rsidRPr="003A75E6" w:rsidRDefault="00F21285" w:rsidP="00BF6BFF">
      <w:pPr>
        <w:pStyle w:val="FootnoteText"/>
        <w:spacing w:line="240" w:lineRule="auto"/>
        <w:rPr>
          <w:sz w:val="22"/>
          <w:szCs w:val="22"/>
        </w:rPr>
      </w:pPr>
      <w:r w:rsidRPr="003A75E6">
        <w:rPr>
          <w:rStyle w:val="FootnoteReference"/>
          <w:sz w:val="22"/>
          <w:szCs w:val="22"/>
        </w:rPr>
        <w:footnoteRef/>
      </w:r>
      <w:r w:rsidRPr="003A75E6">
        <w:rPr>
          <w:sz w:val="22"/>
          <w:szCs w:val="22"/>
        </w:rPr>
        <w:t xml:space="preserve"> </w:t>
      </w:r>
      <w:r w:rsidRPr="003A75E6">
        <w:rPr>
          <w:i/>
          <w:iCs/>
          <w:sz w:val="22"/>
          <w:szCs w:val="22"/>
        </w:rPr>
        <w:t xml:space="preserve">Petition of USTelecom for Forbearance Pursuant to 47 U.S.C. § 160(c) to Accelerate Investments in Broadband and Next Generation Networks </w:t>
      </w:r>
      <w:r w:rsidRPr="003A75E6">
        <w:rPr>
          <w:sz w:val="22"/>
          <w:szCs w:val="22"/>
        </w:rPr>
        <w:t>(“</w:t>
      </w:r>
      <w:r w:rsidRPr="003A75E6">
        <w:rPr>
          <w:i/>
          <w:iCs/>
          <w:sz w:val="22"/>
          <w:szCs w:val="22"/>
        </w:rPr>
        <w:t>Petition</w:t>
      </w:r>
      <w:r w:rsidRPr="003A75E6">
        <w:rPr>
          <w:sz w:val="22"/>
          <w:szCs w:val="22"/>
        </w:rPr>
        <w:t>”), Order, DA 19-574 (rel. June 1, 2018)</w:t>
      </w:r>
      <w:r w:rsidR="001F43B0" w:rsidRPr="003A75E6">
        <w:rPr>
          <w:sz w:val="22"/>
          <w:szCs w:val="22"/>
        </w:rPr>
        <w:t>.</w:t>
      </w:r>
    </w:p>
  </w:footnote>
  <w:footnote w:id="2">
    <w:p w:rsidR="00036E29" w:rsidRPr="003A75E6" w:rsidRDefault="00036E29" w:rsidP="003A75E6">
      <w:pPr>
        <w:pStyle w:val="FootnoteText"/>
        <w:spacing w:line="240" w:lineRule="auto"/>
        <w:rPr>
          <w:sz w:val="22"/>
          <w:szCs w:val="22"/>
        </w:rPr>
      </w:pPr>
      <w:r w:rsidRPr="003A75E6">
        <w:rPr>
          <w:rStyle w:val="FootnoteReference"/>
          <w:sz w:val="22"/>
          <w:szCs w:val="22"/>
        </w:rPr>
        <w:footnoteRef/>
      </w:r>
      <w:r w:rsidRPr="003A75E6">
        <w:rPr>
          <w:sz w:val="22"/>
          <w:szCs w:val="22"/>
        </w:rPr>
        <w:t xml:space="preserve"> </w:t>
      </w:r>
      <w:r w:rsidRPr="003A75E6">
        <w:rPr>
          <w:i/>
          <w:sz w:val="22"/>
          <w:szCs w:val="22"/>
        </w:rPr>
        <w:t>See</w:t>
      </w:r>
      <w:r w:rsidRPr="003A75E6">
        <w:rPr>
          <w:sz w:val="22"/>
          <w:szCs w:val="22"/>
        </w:rPr>
        <w:t xml:space="preserve"> </w:t>
      </w:r>
      <w:r w:rsidRPr="003A75E6">
        <w:rPr>
          <w:i/>
          <w:iCs/>
          <w:sz w:val="22"/>
          <w:szCs w:val="22"/>
        </w:rPr>
        <w:t>Review of the Section 251 Unbundling Obligations of Incumbent Local Exchange Carriers</w:t>
      </w:r>
      <w:r w:rsidRPr="003A75E6">
        <w:rPr>
          <w:sz w:val="22"/>
          <w:szCs w:val="22"/>
        </w:rPr>
        <w:t xml:space="preserve">, </w:t>
      </w:r>
      <w:r w:rsidRPr="003A75E6">
        <w:rPr>
          <w:i/>
          <w:iCs/>
          <w:sz w:val="22"/>
          <w:szCs w:val="22"/>
        </w:rPr>
        <w:t>Order on Remand</w:t>
      </w:r>
      <w:r w:rsidRPr="003A75E6">
        <w:rPr>
          <w:sz w:val="22"/>
          <w:szCs w:val="22"/>
        </w:rPr>
        <w:t>, 20 FCC Rcd 2533 (2005) (“</w:t>
      </w:r>
      <w:r w:rsidRPr="003A75E6">
        <w:rPr>
          <w:i/>
          <w:sz w:val="22"/>
          <w:szCs w:val="22"/>
        </w:rPr>
        <w:t>TRRO</w:t>
      </w:r>
      <w:r w:rsidRPr="003A75E6">
        <w:rPr>
          <w:sz w:val="22"/>
          <w:szCs w:val="22"/>
        </w:rPr>
        <w:t>”).</w:t>
      </w:r>
    </w:p>
  </w:footnote>
  <w:footnote w:id="3">
    <w:p w:rsidR="0079145A" w:rsidRPr="0079145A" w:rsidRDefault="0079145A" w:rsidP="003A75E6">
      <w:pPr>
        <w:pStyle w:val="FootnoteText"/>
        <w:spacing w:line="240" w:lineRule="auto"/>
      </w:pPr>
      <w:r w:rsidRPr="003A75E6">
        <w:rPr>
          <w:rStyle w:val="FootnoteReference"/>
          <w:sz w:val="22"/>
          <w:szCs w:val="22"/>
        </w:rPr>
        <w:footnoteRef/>
      </w:r>
      <w:r w:rsidRPr="003A75E6">
        <w:rPr>
          <w:sz w:val="22"/>
          <w:szCs w:val="22"/>
        </w:rPr>
        <w:t xml:space="preserve"> </w:t>
      </w:r>
      <w:r w:rsidRPr="003A75E6">
        <w:rPr>
          <w:i/>
          <w:sz w:val="22"/>
          <w:szCs w:val="22"/>
        </w:rPr>
        <w:t>See, e.g.</w:t>
      </w:r>
      <w:r w:rsidRPr="003A75E6">
        <w:rPr>
          <w:sz w:val="22"/>
          <w:szCs w:val="22"/>
        </w:rPr>
        <w:t>, California PUC Comments at 12-21; Michigan PSC Comments at 5; PUC of Ohio Comments at 3.</w:t>
      </w:r>
    </w:p>
  </w:footnote>
  <w:footnote w:id="4">
    <w:p w:rsidR="00B101B5" w:rsidRPr="003A75E6" w:rsidRDefault="00B101B5" w:rsidP="003A75E6">
      <w:pPr>
        <w:spacing w:line="240" w:lineRule="auto"/>
        <w:textAlignment w:val="baseline"/>
        <w:rPr>
          <w:color w:val="000000"/>
        </w:rPr>
      </w:pPr>
      <w:r w:rsidRPr="003A75E6">
        <w:rPr>
          <w:rStyle w:val="FootnoteReference"/>
        </w:rPr>
        <w:footnoteRef/>
      </w:r>
      <w:r w:rsidRPr="003A75E6">
        <w:t xml:space="preserve"> </w:t>
      </w:r>
      <w:r w:rsidRPr="003A75E6">
        <w:rPr>
          <w:color w:val="000000"/>
        </w:rPr>
        <w:t>First Communications LLC Comments at 2; Manhattan Telecommunications Corporation d/b/a Metropolitan Telecommunications (MetTel) Comments at 4</w:t>
      </w:r>
      <w:r w:rsidR="00943C65" w:rsidRPr="003A75E6">
        <w:rPr>
          <w:color w:val="000000"/>
        </w:rPr>
        <w:t>.</w:t>
      </w:r>
      <w:r w:rsidRPr="003A75E6">
        <w:rPr>
          <w:color w:val="000000"/>
        </w:rPr>
        <w:t xml:space="preserve">    </w:t>
      </w:r>
    </w:p>
  </w:footnote>
  <w:footnote w:id="5">
    <w:p w:rsidR="001E7F55" w:rsidRPr="003A75E6" w:rsidRDefault="004D5391" w:rsidP="00B1563A">
      <w:pPr>
        <w:pStyle w:val="FootnoteText"/>
        <w:spacing w:line="240" w:lineRule="auto"/>
        <w:rPr>
          <w:sz w:val="22"/>
          <w:szCs w:val="22"/>
        </w:rPr>
      </w:pPr>
      <w:r w:rsidRPr="003A75E6">
        <w:rPr>
          <w:rStyle w:val="FootnoteReference"/>
          <w:sz w:val="22"/>
          <w:szCs w:val="22"/>
        </w:rPr>
        <w:footnoteRef/>
      </w:r>
      <w:r w:rsidRPr="003A75E6">
        <w:rPr>
          <w:sz w:val="22"/>
          <w:szCs w:val="22"/>
        </w:rPr>
        <w:t xml:space="preserve"> </w:t>
      </w:r>
      <w:r w:rsidRPr="003A75E6">
        <w:rPr>
          <w:i/>
          <w:sz w:val="22"/>
          <w:szCs w:val="22"/>
        </w:rPr>
        <w:t>Verizon Communications, Inc., et al. v. FCC</w:t>
      </w:r>
      <w:r w:rsidRPr="003A75E6">
        <w:rPr>
          <w:sz w:val="22"/>
          <w:szCs w:val="22"/>
        </w:rPr>
        <w:t>, 535 U.S. 467, 122 S.Ct. 1646 (2002).</w:t>
      </w:r>
      <w:r w:rsidR="00B1563A" w:rsidRPr="003A75E6">
        <w:rPr>
          <w:sz w:val="22"/>
          <w:szCs w:val="22"/>
        </w:rPr>
        <w:t xml:space="preserve">  The U.S. Supreme Court conclusively established that the TELRIC methodology for deriving the UNE costs and rates was reasonable and that the resulting rates were not confiscatory.  </w:t>
      </w:r>
      <w:r w:rsidR="00B1563A" w:rsidRPr="003A75E6">
        <w:rPr>
          <w:i/>
          <w:sz w:val="22"/>
          <w:szCs w:val="22"/>
        </w:rPr>
        <w:t>Id.</w:t>
      </w:r>
      <w:r w:rsidR="0072076F" w:rsidRPr="003A75E6">
        <w:rPr>
          <w:i/>
          <w:sz w:val="22"/>
          <w:szCs w:val="22"/>
        </w:rPr>
        <w:t>,</w:t>
      </w:r>
      <w:r w:rsidR="00B1563A" w:rsidRPr="003A75E6">
        <w:rPr>
          <w:sz w:val="22"/>
          <w:szCs w:val="22"/>
        </w:rPr>
        <w:t xml:space="preserve"> 535 U.S. </w:t>
      </w:r>
      <w:r w:rsidR="0072076F" w:rsidRPr="003A75E6">
        <w:rPr>
          <w:sz w:val="22"/>
          <w:szCs w:val="22"/>
        </w:rPr>
        <w:t xml:space="preserve">at </w:t>
      </w:r>
      <w:r w:rsidR="00B1563A" w:rsidRPr="003A75E6">
        <w:rPr>
          <w:sz w:val="22"/>
          <w:szCs w:val="22"/>
        </w:rPr>
        <w:t>523</w:t>
      </w:r>
      <w:r w:rsidR="0072076F" w:rsidRPr="003A75E6">
        <w:rPr>
          <w:sz w:val="22"/>
          <w:szCs w:val="22"/>
        </w:rPr>
        <w:t>, 526</w:t>
      </w:r>
      <w:r w:rsidR="00B1563A" w:rsidRPr="003A75E6">
        <w:rPr>
          <w:sz w:val="22"/>
          <w:szCs w:val="22"/>
        </w:rPr>
        <w:t xml:space="preserve">, 122 S.Ct. </w:t>
      </w:r>
      <w:r w:rsidR="0072076F" w:rsidRPr="003A75E6">
        <w:rPr>
          <w:sz w:val="22"/>
          <w:szCs w:val="22"/>
        </w:rPr>
        <w:t xml:space="preserve">at </w:t>
      </w:r>
      <w:r w:rsidR="00B1563A" w:rsidRPr="003A75E6">
        <w:rPr>
          <w:sz w:val="22"/>
          <w:szCs w:val="22"/>
        </w:rPr>
        <w:t>1678</w:t>
      </w:r>
      <w:r w:rsidR="003A75E6">
        <w:rPr>
          <w:sz w:val="22"/>
          <w:szCs w:val="22"/>
        </w:rPr>
        <w:noBreakHyphen/>
      </w:r>
      <w:r w:rsidR="0072076F" w:rsidRPr="003A75E6">
        <w:rPr>
          <w:sz w:val="22"/>
          <w:szCs w:val="22"/>
        </w:rPr>
        <w:t>80</w:t>
      </w:r>
      <w:r w:rsidR="00B1563A" w:rsidRPr="003A75E6">
        <w:rPr>
          <w:sz w:val="22"/>
          <w:szCs w:val="22"/>
        </w:rPr>
        <w:t xml:space="preserve">; 122 S.Ct. 1680.  Furthermore, the Court affirmed the use of “a hybrid jurisdictional scheme with the FCC setting a basic, default methodology for use in setting rates when carriers fail to agree, but leaving </w:t>
      </w:r>
      <w:r w:rsidR="00E51387" w:rsidRPr="003A75E6">
        <w:rPr>
          <w:sz w:val="22"/>
          <w:szCs w:val="22"/>
        </w:rPr>
        <w:t xml:space="preserve">it to </w:t>
      </w:r>
      <w:r w:rsidR="00E51387" w:rsidRPr="003A75E6">
        <w:rPr>
          <w:i/>
          <w:sz w:val="22"/>
          <w:szCs w:val="22"/>
        </w:rPr>
        <w:t>state utility commissions to set the actual rates</w:t>
      </w:r>
      <w:r w:rsidR="00E51387" w:rsidRPr="003A75E6">
        <w:rPr>
          <w:sz w:val="22"/>
          <w:szCs w:val="22"/>
        </w:rPr>
        <w:t xml:space="preserve">.”  </w:t>
      </w:r>
      <w:r w:rsidR="00E51387" w:rsidRPr="003A75E6">
        <w:rPr>
          <w:i/>
          <w:sz w:val="22"/>
          <w:szCs w:val="22"/>
        </w:rPr>
        <w:t>Id.</w:t>
      </w:r>
      <w:r w:rsidR="00E51387" w:rsidRPr="003A75E6">
        <w:rPr>
          <w:sz w:val="22"/>
          <w:szCs w:val="22"/>
        </w:rPr>
        <w:t xml:space="preserve"> 535 U.S. </w:t>
      </w:r>
      <w:r w:rsidR="0072076F" w:rsidRPr="003A75E6">
        <w:rPr>
          <w:sz w:val="22"/>
          <w:szCs w:val="22"/>
        </w:rPr>
        <w:t xml:space="preserve">at </w:t>
      </w:r>
      <w:r w:rsidR="00E51387" w:rsidRPr="003A75E6">
        <w:rPr>
          <w:sz w:val="22"/>
          <w:szCs w:val="22"/>
        </w:rPr>
        <w:t>489, 122 S.Ct</w:t>
      </w:r>
      <w:r w:rsidR="000C3FF5" w:rsidRPr="003A75E6">
        <w:rPr>
          <w:sz w:val="22"/>
          <w:szCs w:val="22"/>
        </w:rPr>
        <w:t>.</w:t>
      </w:r>
      <w:r w:rsidR="00E51387" w:rsidRPr="003A75E6">
        <w:rPr>
          <w:sz w:val="22"/>
          <w:szCs w:val="22"/>
        </w:rPr>
        <w:t xml:space="preserve"> </w:t>
      </w:r>
      <w:r w:rsidR="0072076F" w:rsidRPr="003A75E6">
        <w:rPr>
          <w:sz w:val="22"/>
          <w:szCs w:val="22"/>
        </w:rPr>
        <w:t xml:space="preserve">at </w:t>
      </w:r>
      <w:r w:rsidR="00E51387" w:rsidRPr="003A75E6">
        <w:rPr>
          <w:sz w:val="22"/>
          <w:szCs w:val="22"/>
        </w:rPr>
        <w:t>1661 (emphasis added).</w:t>
      </w:r>
    </w:p>
  </w:footnote>
  <w:footnote w:id="6">
    <w:p w:rsidR="00104175" w:rsidRPr="00104175" w:rsidRDefault="00104175" w:rsidP="00104175">
      <w:pPr>
        <w:pStyle w:val="FootnoteText"/>
        <w:spacing w:line="240" w:lineRule="auto"/>
      </w:pPr>
      <w:r w:rsidRPr="003A75E6">
        <w:rPr>
          <w:rStyle w:val="FootnoteReference"/>
          <w:sz w:val="22"/>
          <w:szCs w:val="22"/>
        </w:rPr>
        <w:footnoteRef/>
      </w:r>
      <w:r w:rsidRPr="003A75E6">
        <w:rPr>
          <w:sz w:val="22"/>
          <w:szCs w:val="22"/>
        </w:rPr>
        <w:t xml:space="preserve"> </w:t>
      </w:r>
      <w:r w:rsidRPr="003A75E6">
        <w:rPr>
          <w:i/>
          <w:sz w:val="22"/>
          <w:szCs w:val="22"/>
        </w:rPr>
        <w:t>See, e.g.</w:t>
      </w:r>
      <w:r w:rsidRPr="001D15CC">
        <w:rPr>
          <w:sz w:val="22"/>
          <w:szCs w:val="22"/>
        </w:rPr>
        <w:t>,</w:t>
      </w:r>
      <w:r w:rsidRPr="003A75E6">
        <w:rPr>
          <w:i/>
          <w:sz w:val="22"/>
          <w:szCs w:val="22"/>
        </w:rPr>
        <w:t xml:space="preserve"> Generic Investigation Re Verizon Pennsylvania Inc.’s Unbundled Network Element Rates</w:t>
      </w:r>
      <w:r w:rsidRPr="003A75E6">
        <w:rPr>
          <w:sz w:val="22"/>
          <w:szCs w:val="22"/>
        </w:rPr>
        <w:t>, Docket No. R</w:t>
      </w:r>
      <w:r w:rsidRPr="003A75E6">
        <w:rPr>
          <w:sz w:val="22"/>
          <w:szCs w:val="22"/>
        </w:rPr>
        <w:noBreakHyphen/>
        <w:t>00016683 (Pa. PUC Final Opinion and Order entered December 11, 2003; Compliance Order entered July 16, 2004).</w:t>
      </w:r>
    </w:p>
  </w:footnote>
  <w:footnote w:id="7">
    <w:p w:rsidR="001E7F55" w:rsidRPr="003A75E6" w:rsidRDefault="001E7F55" w:rsidP="003A75E6">
      <w:pPr>
        <w:pStyle w:val="FootnoteText"/>
        <w:spacing w:line="240" w:lineRule="auto"/>
        <w:rPr>
          <w:sz w:val="22"/>
          <w:szCs w:val="22"/>
        </w:rPr>
      </w:pPr>
      <w:r w:rsidRPr="003A75E6">
        <w:rPr>
          <w:rStyle w:val="FootnoteReference"/>
          <w:sz w:val="22"/>
          <w:szCs w:val="22"/>
        </w:rPr>
        <w:footnoteRef/>
      </w:r>
      <w:r w:rsidRPr="003A75E6">
        <w:rPr>
          <w:sz w:val="22"/>
          <w:szCs w:val="22"/>
        </w:rPr>
        <w:t xml:space="preserve"> Verizon Comments at 31.  </w:t>
      </w:r>
    </w:p>
  </w:footnote>
  <w:footnote w:id="8">
    <w:p w:rsidR="001E7F55" w:rsidRPr="003A75E6" w:rsidRDefault="001E7F55" w:rsidP="003A75E6">
      <w:pPr>
        <w:pStyle w:val="FootnoteText"/>
        <w:spacing w:line="240" w:lineRule="auto"/>
        <w:rPr>
          <w:sz w:val="22"/>
          <w:szCs w:val="22"/>
        </w:rPr>
      </w:pPr>
      <w:r w:rsidRPr="003A75E6">
        <w:rPr>
          <w:rStyle w:val="FootnoteReference"/>
          <w:sz w:val="22"/>
          <w:szCs w:val="22"/>
        </w:rPr>
        <w:footnoteRef/>
      </w:r>
      <w:r w:rsidRPr="003A75E6">
        <w:rPr>
          <w:sz w:val="22"/>
          <w:szCs w:val="22"/>
        </w:rPr>
        <w:t xml:space="preserve"> </w:t>
      </w:r>
      <w:r w:rsidRPr="003A75E6">
        <w:rPr>
          <w:rFonts w:eastAsia="Times New Roman"/>
          <w:color w:val="000000"/>
          <w:sz w:val="22"/>
          <w:szCs w:val="22"/>
        </w:rPr>
        <w:t>CALTEL Comments at 4.</w:t>
      </w:r>
    </w:p>
  </w:footnote>
  <w:footnote w:id="9">
    <w:p w:rsidR="001E7F55" w:rsidRPr="003A75E6" w:rsidRDefault="00786ABC" w:rsidP="003A75E6">
      <w:pPr>
        <w:pStyle w:val="FootnoteText"/>
        <w:spacing w:line="240" w:lineRule="auto"/>
        <w:rPr>
          <w:color w:val="000000"/>
          <w:sz w:val="22"/>
          <w:szCs w:val="22"/>
        </w:rPr>
      </w:pPr>
      <w:r w:rsidRPr="003A75E6">
        <w:rPr>
          <w:rStyle w:val="FootnoteReference"/>
          <w:sz w:val="22"/>
          <w:szCs w:val="22"/>
        </w:rPr>
        <w:footnoteRef/>
      </w:r>
      <w:r w:rsidRPr="003A75E6">
        <w:rPr>
          <w:sz w:val="22"/>
          <w:szCs w:val="22"/>
        </w:rPr>
        <w:t xml:space="preserve"> </w:t>
      </w:r>
      <w:r w:rsidRPr="003A75E6">
        <w:rPr>
          <w:color w:val="000000"/>
          <w:sz w:val="22"/>
          <w:szCs w:val="22"/>
        </w:rPr>
        <w:t xml:space="preserve">Currently, as the telecommunications marketplace stands today, 90% of last-mile networks are owned by two industries </w:t>
      </w:r>
      <w:r w:rsidRPr="003A75E6">
        <w:rPr>
          <w:i/>
          <w:color w:val="000000"/>
          <w:sz w:val="22"/>
          <w:szCs w:val="22"/>
        </w:rPr>
        <w:t>i.e.</w:t>
      </w:r>
      <w:r w:rsidRPr="003A75E6">
        <w:rPr>
          <w:color w:val="000000"/>
          <w:sz w:val="22"/>
          <w:szCs w:val="22"/>
        </w:rPr>
        <w:t>, cable and telecommunications, and only one of those</w:t>
      </w:r>
      <w:r w:rsidR="00010F54" w:rsidRPr="003A75E6">
        <w:rPr>
          <w:color w:val="000000"/>
          <w:sz w:val="22"/>
          <w:szCs w:val="22"/>
        </w:rPr>
        <w:t xml:space="preserve"> industries</w:t>
      </w:r>
      <w:r w:rsidRPr="003A75E6">
        <w:rPr>
          <w:color w:val="000000"/>
          <w:sz w:val="22"/>
          <w:szCs w:val="22"/>
        </w:rPr>
        <w:t xml:space="preserve"> – the ILEC industry – </w:t>
      </w:r>
      <w:r w:rsidR="00010F54" w:rsidRPr="003A75E6">
        <w:rPr>
          <w:color w:val="000000"/>
          <w:sz w:val="22"/>
          <w:szCs w:val="22"/>
        </w:rPr>
        <w:t xml:space="preserve">has a carrier or provider of last resort obligation </w:t>
      </w:r>
      <w:r w:rsidRPr="003A75E6">
        <w:rPr>
          <w:color w:val="000000"/>
          <w:sz w:val="22"/>
          <w:szCs w:val="22"/>
        </w:rPr>
        <w:t xml:space="preserve">to serve all consumers in any given service territory.  </w:t>
      </w:r>
      <w:r w:rsidR="003109F0" w:rsidRPr="003A75E6">
        <w:rPr>
          <w:i/>
          <w:color w:val="000000"/>
          <w:sz w:val="22"/>
          <w:szCs w:val="22"/>
        </w:rPr>
        <w:t>In re: National Broadband Plan for Our Future</w:t>
      </w:r>
      <w:r w:rsidR="003109F0" w:rsidRPr="003A75E6">
        <w:rPr>
          <w:color w:val="000000"/>
          <w:sz w:val="22"/>
          <w:szCs w:val="22"/>
        </w:rPr>
        <w:t xml:space="preserve">, </w:t>
      </w:r>
      <w:r w:rsidR="004C7688" w:rsidRPr="003A75E6">
        <w:rPr>
          <w:color w:val="000000"/>
          <w:sz w:val="22"/>
          <w:szCs w:val="22"/>
        </w:rPr>
        <w:t xml:space="preserve">Docket No. </w:t>
      </w:r>
      <w:r w:rsidR="003109F0" w:rsidRPr="003A75E6">
        <w:rPr>
          <w:color w:val="000000"/>
          <w:sz w:val="22"/>
          <w:szCs w:val="22"/>
        </w:rPr>
        <w:t>09-51</w:t>
      </w:r>
      <w:r w:rsidR="004C7688" w:rsidRPr="003A75E6">
        <w:rPr>
          <w:color w:val="000000"/>
          <w:sz w:val="22"/>
          <w:szCs w:val="22"/>
        </w:rPr>
        <w:t xml:space="preserve">, Pa. PUC Reply Comments (October 12, </w:t>
      </w:r>
      <w:r w:rsidR="00CC3122" w:rsidRPr="003A75E6">
        <w:rPr>
          <w:color w:val="000000"/>
          <w:sz w:val="22"/>
          <w:szCs w:val="22"/>
        </w:rPr>
        <w:t>2</w:t>
      </w:r>
      <w:r w:rsidR="004C7688" w:rsidRPr="003A75E6">
        <w:rPr>
          <w:color w:val="000000"/>
          <w:sz w:val="22"/>
          <w:szCs w:val="22"/>
        </w:rPr>
        <w:t xml:space="preserve">010), p. 5. </w:t>
      </w:r>
      <w:r w:rsidRPr="003A75E6">
        <w:rPr>
          <w:color w:val="000000"/>
          <w:sz w:val="22"/>
          <w:szCs w:val="22"/>
        </w:rPr>
        <w:t>Moreover, cable company networks are not subject to unbundling their network elements to competitors</w:t>
      </w:r>
      <w:r w:rsidR="00010F54" w:rsidRPr="003A75E6">
        <w:rPr>
          <w:color w:val="000000"/>
          <w:sz w:val="22"/>
          <w:szCs w:val="22"/>
        </w:rPr>
        <w:t>, while ILECs are</w:t>
      </w:r>
      <w:r w:rsidRPr="003A75E6">
        <w:rPr>
          <w:color w:val="000000"/>
          <w:sz w:val="22"/>
          <w:szCs w:val="22"/>
        </w:rPr>
        <w:t>.</w:t>
      </w:r>
      <w:r w:rsidR="004C7688" w:rsidRPr="003A75E6">
        <w:rPr>
          <w:color w:val="000000"/>
          <w:sz w:val="22"/>
          <w:szCs w:val="22"/>
        </w:rPr>
        <w:t xml:space="preserve">  </w:t>
      </w:r>
      <w:r w:rsidR="004C7688" w:rsidRPr="003A75E6">
        <w:rPr>
          <w:i/>
          <w:color w:val="000000"/>
          <w:sz w:val="22"/>
          <w:szCs w:val="22"/>
        </w:rPr>
        <w:t>In re: Intercarrier Compensation</w:t>
      </w:r>
      <w:r w:rsidR="004C7688" w:rsidRPr="003A75E6">
        <w:rPr>
          <w:color w:val="000000"/>
          <w:sz w:val="22"/>
          <w:szCs w:val="22"/>
        </w:rPr>
        <w:t>, Docket No.</w:t>
      </w:r>
      <w:r w:rsidR="00D96844" w:rsidRPr="003A75E6">
        <w:rPr>
          <w:color w:val="000000"/>
          <w:sz w:val="22"/>
          <w:szCs w:val="22"/>
        </w:rPr>
        <w:t> </w:t>
      </w:r>
      <w:r w:rsidR="004C7688" w:rsidRPr="003A75E6">
        <w:rPr>
          <w:color w:val="000000"/>
          <w:sz w:val="22"/>
          <w:szCs w:val="22"/>
        </w:rPr>
        <w:t>01-92, Pa. PUC Reply Comments (December 28, 2008), p. 14.</w:t>
      </w:r>
      <w:r w:rsidR="004C7688">
        <w:rPr>
          <w:color w:val="000000"/>
          <w:sz w:val="22"/>
          <w:szCs w:val="22"/>
        </w:rPr>
        <w:t xml:space="preserve">  </w:t>
      </w:r>
      <w:r w:rsidRPr="00786ABC">
        <w:rPr>
          <w:color w:val="000000"/>
          <w:sz w:val="22"/>
          <w:szCs w:val="22"/>
        </w:rPr>
        <w:t xml:space="preserve">  </w:t>
      </w:r>
    </w:p>
  </w:footnote>
  <w:footnote w:id="10">
    <w:p w:rsidR="001B0394" w:rsidRPr="003A75E6" w:rsidRDefault="001B0394" w:rsidP="003A75E6">
      <w:pPr>
        <w:pStyle w:val="FootnoteText"/>
        <w:spacing w:line="240" w:lineRule="auto"/>
        <w:rPr>
          <w:sz w:val="22"/>
          <w:szCs w:val="22"/>
        </w:rPr>
      </w:pPr>
      <w:r w:rsidRPr="003A75E6">
        <w:rPr>
          <w:rStyle w:val="FootnoteReference"/>
          <w:sz w:val="22"/>
          <w:szCs w:val="22"/>
        </w:rPr>
        <w:footnoteRef/>
      </w:r>
      <w:r w:rsidRPr="003A75E6">
        <w:rPr>
          <w:sz w:val="22"/>
          <w:szCs w:val="22"/>
        </w:rPr>
        <w:t xml:space="preserve"> MetTel Comments at 3</w:t>
      </w:r>
      <w:r w:rsidR="002125E4" w:rsidRPr="003A75E6">
        <w:rPr>
          <w:sz w:val="22"/>
          <w:szCs w:val="22"/>
        </w:rPr>
        <w:t>; Public Knowledge Comments at 9, Granite Comments at 11.</w:t>
      </w:r>
    </w:p>
  </w:footnote>
  <w:footnote w:id="11">
    <w:p w:rsidR="00984E7C" w:rsidRDefault="00984E7C" w:rsidP="003A75E6">
      <w:pPr>
        <w:pStyle w:val="FootnoteText"/>
        <w:spacing w:line="240" w:lineRule="auto"/>
      </w:pPr>
      <w:r w:rsidRPr="003A75E6">
        <w:rPr>
          <w:rStyle w:val="FootnoteReference"/>
          <w:sz w:val="22"/>
          <w:szCs w:val="22"/>
        </w:rPr>
        <w:footnoteRef/>
      </w:r>
      <w:r w:rsidR="00104175" w:rsidRPr="003A75E6">
        <w:rPr>
          <w:sz w:val="22"/>
          <w:szCs w:val="22"/>
        </w:rPr>
        <w:t xml:space="preserve"> Michigan PSC Comments at 5-6</w:t>
      </w:r>
      <w:r w:rsidRPr="003A75E6">
        <w:rPr>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B1104"/>
    <w:multiLevelType w:val="hybridMultilevel"/>
    <w:tmpl w:val="ABBCF190"/>
    <w:lvl w:ilvl="0" w:tplc="03C4B4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4C21D6"/>
    <w:multiLevelType w:val="hybridMultilevel"/>
    <w:tmpl w:val="64F2F866"/>
    <w:lvl w:ilvl="0" w:tplc="44DAE8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234226C"/>
    <w:multiLevelType w:val="hybridMultilevel"/>
    <w:tmpl w:val="7C5AEB18"/>
    <w:lvl w:ilvl="0" w:tplc="BAF26F5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ED75A0F"/>
    <w:multiLevelType w:val="hybridMultilevel"/>
    <w:tmpl w:val="D1344938"/>
    <w:lvl w:ilvl="0" w:tplc="22AEC9A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5BC6525"/>
    <w:multiLevelType w:val="hybridMultilevel"/>
    <w:tmpl w:val="63DC6948"/>
    <w:lvl w:ilvl="0" w:tplc="04090001">
      <w:start w:val="1"/>
      <w:numFmt w:val="bullet"/>
      <w:lvlText w:val=""/>
      <w:lvlJc w:val="left"/>
      <w:pPr>
        <w:ind w:left="1080" w:hanging="360"/>
      </w:pPr>
      <w:rPr>
        <w:rFonts w:ascii="Symbol" w:hAnsi="Symbol" w:hint="default"/>
      </w:rPr>
    </w:lvl>
    <w:lvl w:ilvl="1" w:tplc="CB68FB64">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DD67724"/>
    <w:multiLevelType w:val="hybridMultilevel"/>
    <w:tmpl w:val="779058D8"/>
    <w:lvl w:ilvl="0" w:tplc="BAAE220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20D4026"/>
    <w:multiLevelType w:val="hybridMultilevel"/>
    <w:tmpl w:val="6BB4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DFA"/>
    <w:rsid w:val="00010F54"/>
    <w:rsid w:val="000131F5"/>
    <w:rsid w:val="000136E2"/>
    <w:rsid w:val="00014298"/>
    <w:rsid w:val="00016D86"/>
    <w:rsid w:val="00022423"/>
    <w:rsid w:val="00031300"/>
    <w:rsid w:val="00034C89"/>
    <w:rsid w:val="00036A0B"/>
    <w:rsid w:val="00036E29"/>
    <w:rsid w:val="00041240"/>
    <w:rsid w:val="000436E3"/>
    <w:rsid w:val="00044528"/>
    <w:rsid w:val="00046074"/>
    <w:rsid w:val="00047BA5"/>
    <w:rsid w:val="00051144"/>
    <w:rsid w:val="000563B7"/>
    <w:rsid w:val="00056B18"/>
    <w:rsid w:val="000604AD"/>
    <w:rsid w:val="0006161B"/>
    <w:rsid w:val="000640A3"/>
    <w:rsid w:val="00064E48"/>
    <w:rsid w:val="000704B9"/>
    <w:rsid w:val="00086657"/>
    <w:rsid w:val="00091EB0"/>
    <w:rsid w:val="000A191D"/>
    <w:rsid w:val="000A65FD"/>
    <w:rsid w:val="000B1235"/>
    <w:rsid w:val="000B5A93"/>
    <w:rsid w:val="000C3FF5"/>
    <w:rsid w:val="000C5057"/>
    <w:rsid w:val="000D0E1E"/>
    <w:rsid w:val="000D3267"/>
    <w:rsid w:val="000D49BE"/>
    <w:rsid w:val="000D4A40"/>
    <w:rsid w:val="000D699D"/>
    <w:rsid w:val="000E192A"/>
    <w:rsid w:val="000E3AF3"/>
    <w:rsid w:val="000E3E54"/>
    <w:rsid w:val="000E6F39"/>
    <w:rsid w:val="000E7A30"/>
    <w:rsid w:val="000F655D"/>
    <w:rsid w:val="00104175"/>
    <w:rsid w:val="00110F1B"/>
    <w:rsid w:val="0011146F"/>
    <w:rsid w:val="00111E59"/>
    <w:rsid w:val="0011565D"/>
    <w:rsid w:val="00122856"/>
    <w:rsid w:val="00122BE6"/>
    <w:rsid w:val="00123DF0"/>
    <w:rsid w:val="00125822"/>
    <w:rsid w:val="0012783C"/>
    <w:rsid w:val="00137BD6"/>
    <w:rsid w:val="00143513"/>
    <w:rsid w:val="00143742"/>
    <w:rsid w:val="001515BF"/>
    <w:rsid w:val="00152520"/>
    <w:rsid w:val="001620CC"/>
    <w:rsid w:val="001629F5"/>
    <w:rsid w:val="001652B5"/>
    <w:rsid w:val="00166C14"/>
    <w:rsid w:val="00172696"/>
    <w:rsid w:val="001726C8"/>
    <w:rsid w:val="00185F17"/>
    <w:rsid w:val="0019133B"/>
    <w:rsid w:val="001967E7"/>
    <w:rsid w:val="001A1B28"/>
    <w:rsid w:val="001A1D37"/>
    <w:rsid w:val="001A372C"/>
    <w:rsid w:val="001A3F5B"/>
    <w:rsid w:val="001B0394"/>
    <w:rsid w:val="001B708A"/>
    <w:rsid w:val="001B79FA"/>
    <w:rsid w:val="001C0125"/>
    <w:rsid w:val="001C3565"/>
    <w:rsid w:val="001C44EA"/>
    <w:rsid w:val="001D15CC"/>
    <w:rsid w:val="001E6681"/>
    <w:rsid w:val="001E7F55"/>
    <w:rsid w:val="001F415D"/>
    <w:rsid w:val="001F43B0"/>
    <w:rsid w:val="001F698B"/>
    <w:rsid w:val="00201481"/>
    <w:rsid w:val="002068BF"/>
    <w:rsid w:val="002125E4"/>
    <w:rsid w:val="00217C3E"/>
    <w:rsid w:val="002219CD"/>
    <w:rsid w:val="00224C42"/>
    <w:rsid w:val="00225DC9"/>
    <w:rsid w:val="0023083F"/>
    <w:rsid w:val="00241D0F"/>
    <w:rsid w:val="002423E6"/>
    <w:rsid w:val="00250720"/>
    <w:rsid w:val="0025146F"/>
    <w:rsid w:val="002540B6"/>
    <w:rsid w:val="002646C0"/>
    <w:rsid w:val="002655E4"/>
    <w:rsid w:val="00266836"/>
    <w:rsid w:val="00267C59"/>
    <w:rsid w:val="0027058B"/>
    <w:rsid w:val="0027070E"/>
    <w:rsid w:val="00270A6F"/>
    <w:rsid w:val="002769AF"/>
    <w:rsid w:val="00281624"/>
    <w:rsid w:val="00286AC9"/>
    <w:rsid w:val="00290DCA"/>
    <w:rsid w:val="00294CA8"/>
    <w:rsid w:val="002A0206"/>
    <w:rsid w:val="002B2A76"/>
    <w:rsid w:val="002B4239"/>
    <w:rsid w:val="002B71C2"/>
    <w:rsid w:val="002C21A8"/>
    <w:rsid w:val="002C66A8"/>
    <w:rsid w:val="002C7325"/>
    <w:rsid w:val="002D373F"/>
    <w:rsid w:val="002D3EC3"/>
    <w:rsid w:val="002F1A8E"/>
    <w:rsid w:val="002F4174"/>
    <w:rsid w:val="003019E8"/>
    <w:rsid w:val="003021DA"/>
    <w:rsid w:val="00304B9C"/>
    <w:rsid w:val="003066AC"/>
    <w:rsid w:val="00310370"/>
    <w:rsid w:val="003109F0"/>
    <w:rsid w:val="00317B88"/>
    <w:rsid w:val="00317C19"/>
    <w:rsid w:val="003307BF"/>
    <w:rsid w:val="00333DE0"/>
    <w:rsid w:val="00335DDB"/>
    <w:rsid w:val="003377C0"/>
    <w:rsid w:val="00340C7B"/>
    <w:rsid w:val="00346BB9"/>
    <w:rsid w:val="00350302"/>
    <w:rsid w:val="00352C14"/>
    <w:rsid w:val="003568E4"/>
    <w:rsid w:val="00363EFA"/>
    <w:rsid w:val="00387923"/>
    <w:rsid w:val="00387C09"/>
    <w:rsid w:val="003914E3"/>
    <w:rsid w:val="00395DD9"/>
    <w:rsid w:val="00396731"/>
    <w:rsid w:val="00397458"/>
    <w:rsid w:val="003A3DEA"/>
    <w:rsid w:val="003A4BC0"/>
    <w:rsid w:val="003A4FD9"/>
    <w:rsid w:val="003A5770"/>
    <w:rsid w:val="003A6E9A"/>
    <w:rsid w:val="003A75E6"/>
    <w:rsid w:val="003A7B06"/>
    <w:rsid w:val="003B0942"/>
    <w:rsid w:val="003B113B"/>
    <w:rsid w:val="003C2785"/>
    <w:rsid w:val="003C54F9"/>
    <w:rsid w:val="003C7107"/>
    <w:rsid w:val="003D33FC"/>
    <w:rsid w:val="003D6330"/>
    <w:rsid w:val="003E084F"/>
    <w:rsid w:val="003E3426"/>
    <w:rsid w:val="003E70DA"/>
    <w:rsid w:val="003F1E2B"/>
    <w:rsid w:val="003F7F1E"/>
    <w:rsid w:val="0040777B"/>
    <w:rsid w:val="00412829"/>
    <w:rsid w:val="00414501"/>
    <w:rsid w:val="004217C0"/>
    <w:rsid w:val="00427388"/>
    <w:rsid w:val="004340D7"/>
    <w:rsid w:val="00435FF7"/>
    <w:rsid w:val="004367FE"/>
    <w:rsid w:val="0043733E"/>
    <w:rsid w:val="004418BD"/>
    <w:rsid w:val="00442100"/>
    <w:rsid w:val="0045458C"/>
    <w:rsid w:val="00457D0D"/>
    <w:rsid w:val="00463F79"/>
    <w:rsid w:val="00471B25"/>
    <w:rsid w:val="004756D5"/>
    <w:rsid w:val="00487809"/>
    <w:rsid w:val="004A012E"/>
    <w:rsid w:val="004A44BA"/>
    <w:rsid w:val="004B3547"/>
    <w:rsid w:val="004B560A"/>
    <w:rsid w:val="004B78C0"/>
    <w:rsid w:val="004C1254"/>
    <w:rsid w:val="004C7688"/>
    <w:rsid w:val="004D030D"/>
    <w:rsid w:val="004D3C01"/>
    <w:rsid w:val="004D5391"/>
    <w:rsid w:val="004D5C90"/>
    <w:rsid w:val="004E23BD"/>
    <w:rsid w:val="004E23D3"/>
    <w:rsid w:val="004E39D2"/>
    <w:rsid w:val="004E485D"/>
    <w:rsid w:val="004E6994"/>
    <w:rsid w:val="004F481F"/>
    <w:rsid w:val="004F58B4"/>
    <w:rsid w:val="005056CB"/>
    <w:rsid w:val="0050671B"/>
    <w:rsid w:val="00512CFB"/>
    <w:rsid w:val="00513DEA"/>
    <w:rsid w:val="00517DFA"/>
    <w:rsid w:val="00520355"/>
    <w:rsid w:val="00523BAF"/>
    <w:rsid w:val="00523D2A"/>
    <w:rsid w:val="00524EDF"/>
    <w:rsid w:val="00532D94"/>
    <w:rsid w:val="005345AA"/>
    <w:rsid w:val="00540173"/>
    <w:rsid w:val="005401ED"/>
    <w:rsid w:val="005447E7"/>
    <w:rsid w:val="00544DE8"/>
    <w:rsid w:val="0055341F"/>
    <w:rsid w:val="00555EC7"/>
    <w:rsid w:val="00561288"/>
    <w:rsid w:val="00562699"/>
    <w:rsid w:val="00570105"/>
    <w:rsid w:val="005756A5"/>
    <w:rsid w:val="005815D2"/>
    <w:rsid w:val="00583096"/>
    <w:rsid w:val="0058414B"/>
    <w:rsid w:val="00584F59"/>
    <w:rsid w:val="00586C2B"/>
    <w:rsid w:val="00587E56"/>
    <w:rsid w:val="005902C1"/>
    <w:rsid w:val="00591306"/>
    <w:rsid w:val="00592D55"/>
    <w:rsid w:val="00594281"/>
    <w:rsid w:val="0059612E"/>
    <w:rsid w:val="00597FF6"/>
    <w:rsid w:val="005A028A"/>
    <w:rsid w:val="005A5DAF"/>
    <w:rsid w:val="005A5EC5"/>
    <w:rsid w:val="005B4D79"/>
    <w:rsid w:val="005B50BF"/>
    <w:rsid w:val="005B706F"/>
    <w:rsid w:val="005B71F1"/>
    <w:rsid w:val="005D073A"/>
    <w:rsid w:val="005D230A"/>
    <w:rsid w:val="005D2641"/>
    <w:rsid w:val="005D2767"/>
    <w:rsid w:val="005D2A64"/>
    <w:rsid w:val="005D5B38"/>
    <w:rsid w:val="005E04AD"/>
    <w:rsid w:val="005E72E3"/>
    <w:rsid w:val="006001B9"/>
    <w:rsid w:val="00602661"/>
    <w:rsid w:val="006036FF"/>
    <w:rsid w:val="00606004"/>
    <w:rsid w:val="00616880"/>
    <w:rsid w:val="00616E9A"/>
    <w:rsid w:val="006223F1"/>
    <w:rsid w:val="00624130"/>
    <w:rsid w:val="00624E3A"/>
    <w:rsid w:val="00625A8A"/>
    <w:rsid w:val="00626BAA"/>
    <w:rsid w:val="0063582D"/>
    <w:rsid w:val="006361EA"/>
    <w:rsid w:val="00637158"/>
    <w:rsid w:val="006402D3"/>
    <w:rsid w:val="00640CFC"/>
    <w:rsid w:val="006616D0"/>
    <w:rsid w:val="0066230D"/>
    <w:rsid w:val="00665A1F"/>
    <w:rsid w:val="00672EC6"/>
    <w:rsid w:val="00682E4C"/>
    <w:rsid w:val="00684484"/>
    <w:rsid w:val="00685CCD"/>
    <w:rsid w:val="00693A42"/>
    <w:rsid w:val="00697BEC"/>
    <w:rsid w:val="006A218A"/>
    <w:rsid w:val="006A4910"/>
    <w:rsid w:val="006A4CF3"/>
    <w:rsid w:val="006A5C79"/>
    <w:rsid w:val="006A71B9"/>
    <w:rsid w:val="006C05D8"/>
    <w:rsid w:val="006C4F53"/>
    <w:rsid w:val="006C5FD5"/>
    <w:rsid w:val="006D629E"/>
    <w:rsid w:val="006D7BFD"/>
    <w:rsid w:val="006F23B1"/>
    <w:rsid w:val="006F4FB9"/>
    <w:rsid w:val="00701552"/>
    <w:rsid w:val="00705195"/>
    <w:rsid w:val="00713631"/>
    <w:rsid w:val="00717012"/>
    <w:rsid w:val="0072076F"/>
    <w:rsid w:val="00727C74"/>
    <w:rsid w:val="0073405F"/>
    <w:rsid w:val="007406D1"/>
    <w:rsid w:val="00743BB9"/>
    <w:rsid w:val="00745425"/>
    <w:rsid w:val="00760C91"/>
    <w:rsid w:val="00760FC3"/>
    <w:rsid w:val="00762E4B"/>
    <w:rsid w:val="0076649F"/>
    <w:rsid w:val="0077103F"/>
    <w:rsid w:val="00771948"/>
    <w:rsid w:val="00772D48"/>
    <w:rsid w:val="00777BB2"/>
    <w:rsid w:val="0078112C"/>
    <w:rsid w:val="00786ABC"/>
    <w:rsid w:val="0079055F"/>
    <w:rsid w:val="0079145A"/>
    <w:rsid w:val="00794B9B"/>
    <w:rsid w:val="007A228D"/>
    <w:rsid w:val="007B6388"/>
    <w:rsid w:val="007C340A"/>
    <w:rsid w:val="007C444F"/>
    <w:rsid w:val="007C556E"/>
    <w:rsid w:val="007C7169"/>
    <w:rsid w:val="007D14BB"/>
    <w:rsid w:val="007D2FDF"/>
    <w:rsid w:val="007D4167"/>
    <w:rsid w:val="007E01B2"/>
    <w:rsid w:val="007E4555"/>
    <w:rsid w:val="007E5796"/>
    <w:rsid w:val="007E65AC"/>
    <w:rsid w:val="007F06DB"/>
    <w:rsid w:val="007F4A79"/>
    <w:rsid w:val="007F4F70"/>
    <w:rsid w:val="00803AEC"/>
    <w:rsid w:val="008062A6"/>
    <w:rsid w:val="008153DE"/>
    <w:rsid w:val="00821CE4"/>
    <w:rsid w:val="0082283C"/>
    <w:rsid w:val="00824E17"/>
    <w:rsid w:val="00826D14"/>
    <w:rsid w:val="008354A0"/>
    <w:rsid w:val="0084292F"/>
    <w:rsid w:val="0084318E"/>
    <w:rsid w:val="00843706"/>
    <w:rsid w:val="00843A66"/>
    <w:rsid w:val="008547B0"/>
    <w:rsid w:val="00855273"/>
    <w:rsid w:val="00857D16"/>
    <w:rsid w:val="0086227B"/>
    <w:rsid w:val="008726EC"/>
    <w:rsid w:val="00873160"/>
    <w:rsid w:val="008739FB"/>
    <w:rsid w:val="00876879"/>
    <w:rsid w:val="00877B58"/>
    <w:rsid w:val="008837E9"/>
    <w:rsid w:val="008868F8"/>
    <w:rsid w:val="008921B1"/>
    <w:rsid w:val="0089774A"/>
    <w:rsid w:val="008A350F"/>
    <w:rsid w:val="008A614F"/>
    <w:rsid w:val="008B3E5C"/>
    <w:rsid w:val="008B44D6"/>
    <w:rsid w:val="008C0911"/>
    <w:rsid w:val="008C1E7C"/>
    <w:rsid w:val="008C2BF1"/>
    <w:rsid w:val="008C4CAA"/>
    <w:rsid w:val="008C6043"/>
    <w:rsid w:val="008D35C2"/>
    <w:rsid w:val="008D3B42"/>
    <w:rsid w:val="008D685E"/>
    <w:rsid w:val="008F14B8"/>
    <w:rsid w:val="008F52FD"/>
    <w:rsid w:val="008F761C"/>
    <w:rsid w:val="00905D45"/>
    <w:rsid w:val="009279C9"/>
    <w:rsid w:val="009358D6"/>
    <w:rsid w:val="00943C65"/>
    <w:rsid w:val="00946FAB"/>
    <w:rsid w:val="00951213"/>
    <w:rsid w:val="00952407"/>
    <w:rsid w:val="00953F8E"/>
    <w:rsid w:val="00957A0B"/>
    <w:rsid w:val="00960462"/>
    <w:rsid w:val="00972714"/>
    <w:rsid w:val="0097365F"/>
    <w:rsid w:val="00974A7C"/>
    <w:rsid w:val="00976E4D"/>
    <w:rsid w:val="0098081D"/>
    <w:rsid w:val="00982916"/>
    <w:rsid w:val="00982D5D"/>
    <w:rsid w:val="00984E7C"/>
    <w:rsid w:val="00993894"/>
    <w:rsid w:val="0099512C"/>
    <w:rsid w:val="009A6F41"/>
    <w:rsid w:val="009B298B"/>
    <w:rsid w:val="009B38C4"/>
    <w:rsid w:val="009B4680"/>
    <w:rsid w:val="009B4B37"/>
    <w:rsid w:val="009B6F9A"/>
    <w:rsid w:val="009C40EF"/>
    <w:rsid w:val="009C4352"/>
    <w:rsid w:val="009C67DD"/>
    <w:rsid w:val="009D1E9D"/>
    <w:rsid w:val="009D3226"/>
    <w:rsid w:val="009D4434"/>
    <w:rsid w:val="009E0C06"/>
    <w:rsid w:val="009E4B6D"/>
    <w:rsid w:val="009E6BC5"/>
    <w:rsid w:val="009E75AB"/>
    <w:rsid w:val="009F4AAE"/>
    <w:rsid w:val="00A00F10"/>
    <w:rsid w:val="00A10F32"/>
    <w:rsid w:val="00A12F5C"/>
    <w:rsid w:val="00A1577F"/>
    <w:rsid w:val="00A25B26"/>
    <w:rsid w:val="00A417FC"/>
    <w:rsid w:val="00A449F2"/>
    <w:rsid w:val="00A52FCE"/>
    <w:rsid w:val="00A544AB"/>
    <w:rsid w:val="00A5600F"/>
    <w:rsid w:val="00A60C34"/>
    <w:rsid w:val="00A74C3C"/>
    <w:rsid w:val="00A85DA3"/>
    <w:rsid w:val="00A9182A"/>
    <w:rsid w:val="00A96C3E"/>
    <w:rsid w:val="00AA34B0"/>
    <w:rsid w:val="00AB7901"/>
    <w:rsid w:val="00AB7D46"/>
    <w:rsid w:val="00AC076F"/>
    <w:rsid w:val="00AC401B"/>
    <w:rsid w:val="00AD02B0"/>
    <w:rsid w:val="00AD0ABE"/>
    <w:rsid w:val="00AD4150"/>
    <w:rsid w:val="00AE5CC5"/>
    <w:rsid w:val="00AF2923"/>
    <w:rsid w:val="00AF5BB3"/>
    <w:rsid w:val="00AF6DF5"/>
    <w:rsid w:val="00B00364"/>
    <w:rsid w:val="00B03597"/>
    <w:rsid w:val="00B101B5"/>
    <w:rsid w:val="00B140B4"/>
    <w:rsid w:val="00B1563A"/>
    <w:rsid w:val="00B22D4F"/>
    <w:rsid w:val="00B22E25"/>
    <w:rsid w:val="00B22F91"/>
    <w:rsid w:val="00B24519"/>
    <w:rsid w:val="00B27E86"/>
    <w:rsid w:val="00B30222"/>
    <w:rsid w:val="00B41999"/>
    <w:rsid w:val="00B426B8"/>
    <w:rsid w:val="00B500A6"/>
    <w:rsid w:val="00B50F34"/>
    <w:rsid w:val="00B5333C"/>
    <w:rsid w:val="00B546AB"/>
    <w:rsid w:val="00B560E2"/>
    <w:rsid w:val="00B639B7"/>
    <w:rsid w:val="00B6588D"/>
    <w:rsid w:val="00B67BD7"/>
    <w:rsid w:val="00B71A7A"/>
    <w:rsid w:val="00B812EE"/>
    <w:rsid w:val="00B829E1"/>
    <w:rsid w:val="00B96688"/>
    <w:rsid w:val="00BA5EE6"/>
    <w:rsid w:val="00BA6104"/>
    <w:rsid w:val="00BA64CA"/>
    <w:rsid w:val="00BA6EB7"/>
    <w:rsid w:val="00BA723E"/>
    <w:rsid w:val="00BC47BB"/>
    <w:rsid w:val="00BC69D0"/>
    <w:rsid w:val="00BD37CF"/>
    <w:rsid w:val="00BD4FB7"/>
    <w:rsid w:val="00BD6F39"/>
    <w:rsid w:val="00BE46A0"/>
    <w:rsid w:val="00BE5631"/>
    <w:rsid w:val="00BE73C1"/>
    <w:rsid w:val="00BF5BD7"/>
    <w:rsid w:val="00BF6BFF"/>
    <w:rsid w:val="00BF7138"/>
    <w:rsid w:val="00C12A6C"/>
    <w:rsid w:val="00C14280"/>
    <w:rsid w:val="00C17848"/>
    <w:rsid w:val="00C20D93"/>
    <w:rsid w:val="00C230CE"/>
    <w:rsid w:val="00C238FF"/>
    <w:rsid w:val="00C24F35"/>
    <w:rsid w:val="00C27C62"/>
    <w:rsid w:val="00C368ED"/>
    <w:rsid w:val="00C372E5"/>
    <w:rsid w:val="00C40382"/>
    <w:rsid w:val="00C403CF"/>
    <w:rsid w:val="00C4069A"/>
    <w:rsid w:val="00C409B7"/>
    <w:rsid w:val="00C41330"/>
    <w:rsid w:val="00C4162A"/>
    <w:rsid w:val="00C46845"/>
    <w:rsid w:val="00C561F6"/>
    <w:rsid w:val="00C5782B"/>
    <w:rsid w:val="00C617F2"/>
    <w:rsid w:val="00C61D85"/>
    <w:rsid w:val="00C72DA3"/>
    <w:rsid w:val="00C74C5D"/>
    <w:rsid w:val="00C75ED4"/>
    <w:rsid w:val="00C77904"/>
    <w:rsid w:val="00C863A9"/>
    <w:rsid w:val="00C91142"/>
    <w:rsid w:val="00C91CDD"/>
    <w:rsid w:val="00C94396"/>
    <w:rsid w:val="00C94628"/>
    <w:rsid w:val="00CA3347"/>
    <w:rsid w:val="00CA41C2"/>
    <w:rsid w:val="00CB0DCF"/>
    <w:rsid w:val="00CB2F42"/>
    <w:rsid w:val="00CB40C9"/>
    <w:rsid w:val="00CB7237"/>
    <w:rsid w:val="00CC1D31"/>
    <w:rsid w:val="00CC3122"/>
    <w:rsid w:val="00CC362F"/>
    <w:rsid w:val="00CD3E01"/>
    <w:rsid w:val="00CD4CF4"/>
    <w:rsid w:val="00CD7DA1"/>
    <w:rsid w:val="00CE5889"/>
    <w:rsid w:val="00CE7DD3"/>
    <w:rsid w:val="00CF08ED"/>
    <w:rsid w:val="00CF1FB0"/>
    <w:rsid w:val="00CF4FFF"/>
    <w:rsid w:val="00CF6D4B"/>
    <w:rsid w:val="00D015C9"/>
    <w:rsid w:val="00D0195F"/>
    <w:rsid w:val="00D06BDB"/>
    <w:rsid w:val="00D10E11"/>
    <w:rsid w:val="00D21219"/>
    <w:rsid w:val="00D261AD"/>
    <w:rsid w:val="00D40E06"/>
    <w:rsid w:val="00D41184"/>
    <w:rsid w:val="00D41B9C"/>
    <w:rsid w:val="00D5038C"/>
    <w:rsid w:val="00D50788"/>
    <w:rsid w:val="00D50B8C"/>
    <w:rsid w:val="00D544DB"/>
    <w:rsid w:val="00D547B9"/>
    <w:rsid w:val="00D61BAF"/>
    <w:rsid w:val="00D70B11"/>
    <w:rsid w:val="00D75698"/>
    <w:rsid w:val="00D77ABA"/>
    <w:rsid w:val="00D82750"/>
    <w:rsid w:val="00D85B41"/>
    <w:rsid w:val="00D861C0"/>
    <w:rsid w:val="00D907FC"/>
    <w:rsid w:val="00D9117B"/>
    <w:rsid w:val="00D9487A"/>
    <w:rsid w:val="00D96844"/>
    <w:rsid w:val="00DA0C31"/>
    <w:rsid w:val="00DA3E97"/>
    <w:rsid w:val="00DA4502"/>
    <w:rsid w:val="00DA6371"/>
    <w:rsid w:val="00DB4CFC"/>
    <w:rsid w:val="00DB5F0A"/>
    <w:rsid w:val="00DC29DE"/>
    <w:rsid w:val="00DC5110"/>
    <w:rsid w:val="00DC5ED8"/>
    <w:rsid w:val="00DD198E"/>
    <w:rsid w:val="00DD3086"/>
    <w:rsid w:val="00DD7629"/>
    <w:rsid w:val="00DE042B"/>
    <w:rsid w:val="00DE16A5"/>
    <w:rsid w:val="00DF083C"/>
    <w:rsid w:val="00DF50CF"/>
    <w:rsid w:val="00DF50E7"/>
    <w:rsid w:val="00E04156"/>
    <w:rsid w:val="00E0510D"/>
    <w:rsid w:val="00E1493F"/>
    <w:rsid w:val="00E15E55"/>
    <w:rsid w:val="00E16747"/>
    <w:rsid w:val="00E16D97"/>
    <w:rsid w:val="00E173FB"/>
    <w:rsid w:val="00E17B55"/>
    <w:rsid w:val="00E223DB"/>
    <w:rsid w:val="00E25E95"/>
    <w:rsid w:val="00E26C82"/>
    <w:rsid w:val="00E27C0E"/>
    <w:rsid w:val="00E27DAE"/>
    <w:rsid w:val="00E3305D"/>
    <w:rsid w:val="00E35DB5"/>
    <w:rsid w:val="00E360C9"/>
    <w:rsid w:val="00E42F8E"/>
    <w:rsid w:val="00E45611"/>
    <w:rsid w:val="00E458E2"/>
    <w:rsid w:val="00E46C43"/>
    <w:rsid w:val="00E51387"/>
    <w:rsid w:val="00E52913"/>
    <w:rsid w:val="00E54D10"/>
    <w:rsid w:val="00E56E82"/>
    <w:rsid w:val="00E62860"/>
    <w:rsid w:val="00E65C35"/>
    <w:rsid w:val="00E850B2"/>
    <w:rsid w:val="00E9229B"/>
    <w:rsid w:val="00E94466"/>
    <w:rsid w:val="00E95586"/>
    <w:rsid w:val="00E9660E"/>
    <w:rsid w:val="00EA0327"/>
    <w:rsid w:val="00EA247D"/>
    <w:rsid w:val="00EA5F60"/>
    <w:rsid w:val="00EB5087"/>
    <w:rsid w:val="00EB5968"/>
    <w:rsid w:val="00EC1CD7"/>
    <w:rsid w:val="00EC7820"/>
    <w:rsid w:val="00ED000E"/>
    <w:rsid w:val="00ED02D5"/>
    <w:rsid w:val="00EE5829"/>
    <w:rsid w:val="00EE74FB"/>
    <w:rsid w:val="00EF1A45"/>
    <w:rsid w:val="00EF285C"/>
    <w:rsid w:val="00EF3A42"/>
    <w:rsid w:val="00F02F13"/>
    <w:rsid w:val="00F144B4"/>
    <w:rsid w:val="00F21285"/>
    <w:rsid w:val="00F2481F"/>
    <w:rsid w:val="00F300E6"/>
    <w:rsid w:val="00F30F8B"/>
    <w:rsid w:val="00F34A29"/>
    <w:rsid w:val="00F478DA"/>
    <w:rsid w:val="00F47A3C"/>
    <w:rsid w:val="00F622E1"/>
    <w:rsid w:val="00F632D7"/>
    <w:rsid w:val="00F7114C"/>
    <w:rsid w:val="00F902CD"/>
    <w:rsid w:val="00FA032A"/>
    <w:rsid w:val="00FB31BA"/>
    <w:rsid w:val="00FB4D7A"/>
    <w:rsid w:val="00FB56D6"/>
    <w:rsid w:val="00FB5A18"/>
    <w:rsid w:val="00FC3E57"/>
    <w:rsid w:val="00FC5384"/>
    <w:rsid w:val="00FD1CC7"/>
    <w:rsid w:val="00FE4DFB"/>
    <w:rsid w:val="00FF0B26"/>
    <w:rsid w:val="00FF5EB9"/>
    <w:rsid w:val="00FF6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FCEA3BD-F903-404B-9508-78F87E21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8414B"/>
    <w:rPr>
      <w:sz w:val="20"/>
      <w:szCs w:val="20"/>
    </w:rPr>
  </w:style>
  <w:style w:type="character" w:customStyle="1" w:styleId="FootnoteTextChar">
    <w:name w:val="Footnote Text Char"/>
    <w:basedOn w:val="DefaultParagraphFont"/>
    <w:link w:val="FootnoteText"/>
    <w:uiPriority w:val="99"/>
    <w:semiHidden/>
    <w:rsid w:val="0058414B"/>
    <w:rPr>
      <w:sz w:val="20"/>
      <w:szCs w:val="20"/>
    </w:rPr>
  </w:style>
  <w:style w:type="character" w:styleId="FootnoteReference">
    <w:name w:val="footnote reference"/>
    <w:basedOn w:val="DefaultParagraphFont"/>
    <w:uiPriority w:val="99"/>
    <w:semiHidden/>
    <w:unhideWhenUsed/>
    <w:rsid w:val="0058414B"/>
    <w:rPr>
      <w:vertAlign w:val="superscript"/>
    </w:rPr>
  </w:style>
  <w:style w:type="paragraph" w:styleId="BalloonText">
    <w:name w:val="Balloon Text"/>
    <w:basedOn w:val="Normal"/>
    <w:link w:val="BalloonTextChar"/>
    <w:uiPriority w:val="99"/>
    <w:semiHidden/>
    <w:unhideWhenUsed/>
    <w:rsid w:val="002B71C2"/>
    <w:rPr>
      <w:rFonts w:ascii="Tahoma" w:hAnsi="Tahoma" w:cs="Tahoma"/>
      <w:sz w:val="16"/>
      <w:szCs w:val="16"/>
    </w:rPr>
  </w:style>
  <w:style w:type="character" w:customStyle="1" w:styleId="BalloonTextChar">
    <w:name w:val="Balloon Text Char"/>
    <w:basedOn w:val="DefaultParagraphFont"/>
    <w:link w:val="BalloonText"/>
    <w:uiPriority w:val="99"/>
    <w:semiHidden/>
    <w:rsid w:val="002B71C2"/>
    <w:rPr>
      <w:rFonts w:ascii="Tahoma" w:hAnsi="Tahoma" w:cs="Tahoma"/>
      <w:sz w:val="16"/>
      <w:szCs w:val="16"/>
    </w:rPr>
  </w:style>
  <w:style w:type="paragraph" w:styleId="Header">
    <w:name w:val="header"/>
    <w:basedOn w:val="Normal"/>
    <w:link w:val="HeaderChar"/>
    <w:uiPriority w:val="99"/>
    <w:unhideWhenUsed/>
    <w:rsid w:val="000A65FD"/>
    <w:pPr>
      <w:tabs>
        <w:tab w:val="center" w:pos="4680"/>
        <w:tab w:val="right" w:pos="9360"/>
      </w:tabs>
    </w:pPr>
  </w:style>
  <w:style w:type="character" w:customStyle="1" w:styleId="HeaderChar">
    <w:name w:val="Header Char"/>
    <w:basedOn w:val="DefaultParagraphFont"/>
    <w:link w:val="Header"/>
    <w:uiPriority w:val="99"/>
    <w:rsid w:val="000A65FD"/>
  </w:style>
  <w:style w:type="paragraph" w:styleId="Footer">
    <w:name w:val="footer"/>
    <w:basedOn w:val="Normal"/>
    <w:link w:val="FooterChar"/>
    <w:uiPriority w:val="99"/>
    <w:unhideWhenUsed/>
    <w:rsid w:val="000A65FD"/>
    <w:pPr>
      <w:tabs>
        <w:tab w:val="center" w:pos="4680"/>
        <w:tab w:val="right" w:pos="9360"/>
      </w:tabs>
    </w:pPr>
  </w:style>
  <w:style w:type="character" w:customStyle="1" w:styleId="FooterChar">
    <w:name w:val="Footer Char"/>
    <w:basedOn w:val="DefaultParagraphFont"/>
    <w:link w:val="Footer"/>
    <w:uiPriority w:val="99"/>
    <w:rsid w:val="000A65FD"/>
  </w:style>
  <w:style w:type="character" w:styleId="CommentReference">
    <w:name w:val="annotation reference"/>
    <w:basedOn w:val="DefaultParagraphFont"/>
    <w:uiPriority w:val="99"/>
    <w:semiHidden/>
    <w:unhideWhenUsed/>
    <w:rsid w:val="000A65FD"/>
    <w:rPr>
      <w:sz w:val="16"/>
      <w:szCs w:val="16"/>
    </w:rPr>
  </w:style>
  <w:style w:type="paragraph" w:styleId="CommentText">
    <w:name w:val="annotation text"/>
    <w:basedOn w:val="Normal"/>
    <w:link w:val="CommentTextChar"/>
    <w:uiPriority w:val="99"/>
    <w:semiHidden/>
    <w:unhideWhenUsed/>
    <w:rsid w:val="000A65FD"/>
    <w:rPr>
      <w:sz w:val="20"/>
      <w:szCs w:val="20"/>
    </w:rPr>
  </w:style>
  <w:style w:type="character" w:customStyle="1" w:styleId="CommentTextChar">
    <w:name w:val="Comment Text Char"/>
    <w:basedOn w:val="DefaultParagraphFont"/>
    <w:link w:val="CommentText"/>
    <w:uiPriority w:val="99"/>
    <w:semiHidden/>
    <w:rsid w:val="000A65FD"/>
    <w:rPr>
      <w:sz w:val="20"/>
      <w:szCs w:val="20"/>
    </w:rPr>
  </w:style>
  <w:style w:type="paragraph" w:styleId="CommentSubject">
    <w:name w:val="annotation subject"/>
    <w:basedOn w:val="CommentText"/>
    <w:next w:val="CommentText"/>
    <w:link w:val="CommentSubjectChar"/>
    <w:uiPriority w:val="99"/>
    <w:semiHidden/>
    <w:unhideWhenUsed/>
    <w:rsid w:val="000A65FD"/>
    <w:rPr>
      <w:b/>
      <w:bCs/>
    </w:rPr>
  </w:style>
  <w:style w:type="character" w:customStyle="1" w:styleId="CommentSubjectChar">
    <w:name w:val="Comment Subject Char"/>
    <w:basedOn w:val="CommentTextChar"/>
    <w:link w:val="CommentSubject"/>
    <w:uiPriority w:val="99"/>
    <w:semiHidden/>
    <w:rsid w:val="000A65FD"/>
    <w:rPr>
      <w:b/>
      <w:bCs/>
      <w:sz w:val="20"/>
      <w:szCs w:val="20"/>
    </w:rPr>
  </w:style>
  <w:style w:type="paragraph" w:styleId="ListParagraph">
    <w:name w:val="List Paragraph"/>
    <w:basedOn w:val="Normal"/>
    <w:uiPriority w:val="34"/>
    <w:qFormat/>
    <w:rsid w:val="00C75ED4"/>
    <w:pPr>
      <w:ind w:left="720"/>
      <w:contextualSpacing/>
    </w:pPr>
  </w:style>
  <w:style w:type="character" w:styleId="Hyperlink">
    <w:name w:val="Hyperlink"/>
    <w:basedOn w:val="DefaultParagraphFont"/>
    <w:uiPriority w:val="99"/>
    <w:unhideWhenUsed/>
    <w:rsid w:val="00B96688"/>
    <w:rPr>
      <w:color w:val="0000FF" w:themeColor="hyperlink"/>
      <w:u w:val="single"/>
    </w:rPr>
  </w:style>
  <w:style w:type="character" w:styleId="UnresolvedMention">
    <w:name w:val="Unresolved Mention"/>
    <w:basedOn w:val="DefaultParagraphFont"/>
    <w:uiPriority w:val="99"/>
    <w:semiHidden/>
    <w:unhideWhenUsed/>
    <w:rsid w:val="00B96688"/>
    <w:rPr>
      <w:color w:val="605E5C"/>
      <w:shd w:val="clear" w:color="auto" w:fill="E1DFDD"/>
    </w:rPr>
  </w:style>
  <w:style w:type="paragraph" w:styleId="HTMLPreformatted">
    <w:name w:val="HTML Preformatted"/>
    <w:basedOn w:val="Normal"/>
    <w:link w:val="HTMLPreformattedChar"/>
    <w:uiPriority w:val="99"/>
    <w:semiHidden/>
    <w:unhideWhenUsed/>
    <w:rsid w:val="00F300E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300E6"/>
    <w:rPr>
      <w:rFonts w:ascii="Consolas" w:hAnsi="Consolas"/>
      <w:sz w:val="20"/>
      <w:szCs w:val="20"/>
    </w:rPr>
  </w:style>
  <w:style w:type="paragraph" w:styleId="Revision">
    <w:name w:val="Revision"/>
    <w:hidden/>
    <w:uiPriority w:val="99"/>
    <w:semiHidden/>
    <w:rsid w:val="003066A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89732">
      <w:bodyDiv w:val="1"/>
      <w:marLeft w:val="0"/>
      <w:marRight w:val="0"/>
      <w:marTop w:val="0"/>
      <w:marBottom w:val="0"/>
      <w:divBdr>
        <w:top w:val="none" w:sz="0" w:space="0" w:color="auto"/>
        <w:left w:val="none" w:sz="0" w:space="0" w:color="auto"/>
        <w:bottom w:val="none" w:sz="0" w:space="0" w:color="auto"/>
        <w:right w:val="none" w:sz="0" w:space="0" w:color="auto"/>
      </w:divBdr>
    </w:div>
    <w:div w:id="330839410">
      <w:bodyDiv w:val="1"/>
      <w:marLeft w:val="0"/>
      <w:marRight w:val="0"/>
      <w:marTop w:val="0"/>
      <w:marBottom w:val="0"/>
      <w:divBdr>
        <w:top w:val="none" w:sz="0" w:space="0" w:color="auto"/>
        <w:left w:val="none" w:sz="0" w:space="0" w:color="auto"/>
        <w:bottom w:val="none" w:sz="0" w:space="0" w:color="auto"/>
        <w:right w:val="none" w:sz="0" w:space="0" w:color="auto"/>
      </w:divBdr>
    </w:div>
    <w:div w:id="430056523">
      <w:bodyDiv w:val="1"/>
      <w:marLeft w:val="0"/>
      <w:marRight w:val="0"/>
      <w:marTop w:val="0"/>
      <w:marBottom w:val="0"/>
      <w:divBdr>
        <w:top w:val="none" w:sz="0" w:space="0" w:color="auto"/>
        <w:left w:val="none" w:sz="0" w:space="0" w:color="auto"/>
        <w:bottom w:val="none" w:sz="0" w:space="0" w:color="auto"/>
        <w:right w:val="none" w:sz="0" w:space="0" w:color="auto"/>
      </w:divBdr>
    </w:div>
    <w:div w:id="430202378">
      <w:bodyDiv w:val="1"/>
      <w:marLeft w:val="0"/>
      <w:marRight w:val="0"/>
      <w:marTop w:val="0"/>
      <w:marBottom w:val="0"/>
      <w:divBdr>
        <w:top w:val="none" w:sz="0" w:space="0" w:color="auto"/>
        <w:left w:val="none" w:sz="0" w:space="0" w:color="auto"/>
        <w:bottom w:val="none" w:sz="0" w:space="0" w:color="auto"/>
        <w:right w:val="none" w:sz="0" w:space="0" w:color="auto"/>
      </w:divBdr>
    </w:div>
    <w:div w:id="1238903406">
      <w:bodyDiv w:val="1"/>
      <w:marLeft w:val="0"/>
      <w:marRight w:val="0"/>
      <w:marTop w:val="0"/>
      <w:marBottom w:val="0"/>
      <w:divBdr>
        <w:top w:val="none" w:sz="0" w:space="0" w:color="auto"/>
        <w:left w:val="none" w:sz="0" w:space="0" w:color="auto"/>
        <w:bottom w:val="none" w:sz="0" w:space="0" w:color="auto"/>
        <w:right w:val="none" w:sz="0" w:space="0" w:color="auto"/>
      </w:divBdr>
    </w:div>
    <w:div w:id="1268656432">
      <w:bodyDiv w:val="1"/>
      <w:marLeft w:val="0"/>
      <w:marRight w:val="0"/>
      <w:marTop w:val="0"/>
      <w:marBottom w:val="0"/>
      <w:divBdr>
        <w:top w:val="none" w:sz="0" w:space="0" w:color="auto"/>
        <w:left w:val="none" w:sz="0" w:space="0" w:color="auto"/>
        <w:bottom w:val="none" w:sz="0" w:space="0" w:color="auto"/>
        <w:right w:val="none" w:sz="0" w:space="0" w:color="auto"/>
      </w:divBdr>
    </w:div>
    <w:div w:id="1304197042">
      <w:bodyDiv w:val="1"/>
      <w:marLeft w:val="0"/>
      <w:marRight w:val="0"/>
      <w:marTop w:val="0"/>
      <w:marBottom w:val="0"/>
      <w:divBdr>
        <w:top w:val="none" w:sz="0" w:space="0" w:color="auto"/>
        <w:left w:val="none" w:sz="0" w:space="0" w:color="auto"/>
        <w:bottom w:val="none" w:sz="0" w:space="0" w:color="auto"/>
        <w:right w:val="none" w:sz="0" w:space="0" w:color="auto"/>
      </w:divBdr>
    </w:div>
    <w:div w:id="1412699072">
      <w:bodyDiv w:val="1"/>
      <w:marLeft w:val="0"/>
      <w:marRight w:val="0"/>
      <w:marTop w:val="0"/>
      <w:marBottom w:val="0"/>
      <w:divBdr>
        <w:top w:val="none" w:sz="0" w:space="0" w:color="auto"/>
        <w:left w:val="none" w:sz="0" w:space="0" w:color="auto"/>
        <w:bottom w:val="none" w:sz="0" w:space="0" w:color="auto"/>
        <w:right w:val="none" w:sz="0" w:space="0" w:color="auto"/>
      </w:divBdr>
    </w:div>
    <w:div w:id="1502817653">
      <w:bodyDiv w:val="1"/>
      <w:marLeft w:val="0"/>
      <w:marRight w:val="0"/>
      <w:marTop w:val="0"/>
      <w:marBottom w:val="0"/>
      <w:divBdr>
        <w:top w:val="none" w:sz="0" w:space="0" w:color="auto"/>
        <w:left w:val="none" w:sz="0" w:space="0" w:color="auto"/>
        <w:bottom w:val="none" w:sz="0" w:space="0" w:color="auto"/>
        <w:right w:val="none" w:sz="0" w:space="0" w:color="auto"/>
      </w:divBdr>
      <w:divsChild>
        <w:div w:id="2124685637">
          <w:marLeft w:val="0"/>
          <w:marRight w:val="0"/>
          <w:marTop w:val="0"/>
          <w:marBottom w:val="0"/>
          <w:divBdr>
            <w:top w:val="none" w:sz="0" w:space="0" w:color="auto"/>
            <w:left w:val="none" w:sz="0" w:space="0" w:color="auto"/>
            <w:bottom w:val="none" w:sz="0" w:space="0" w:color="auto"/>
            <w:right w:val="none" w:sz="0" w:space="0" w:color="auto"/>
          </w:divBdr>
          <w:divsChild>
            <w:div w:id="403526592">
              <w:marLeft w:val="0"/>
              <w:marRight w:val="0"/>
              <w:marTop w:val="0"/>
              <w:marBottom w:val="0"/>
              <w:divBdr>
                <w:top w:val="none" w:sz="0" w:space="0" w:color="auto"/>
                <w:left w:val="none" w:sz="0" w:space="0" w:color="auto"/>
                <w:bottom w:val="none" w:sz="0" w:space="0" w:color="auto"/>
                <w:right w:val="none" w:sz="0" w:space="0" w:color="auto"/>
              </w:divBdr>
              <w:divsChild>
                <w:div w:id="823158588">
                  <w:marLeft w:val="0"/>
                  <w:marRight w:val="0"/>
                  <w:marTop w:val="0"/>
                  <w:marBottom w:val="0"/>
                  <w:divBdr>
                    <w:top w:val="none" w:sz="0" w:space="0" w:color="auto"/>
                    <w:left w:val="none" w:sz="0" w:space="0" w:color="auto"/>
                    <w:bottom w:val="none" w:sz="0" w:space="0" w:color="auto"/>
                    <w:right w:val="none" w:sz="0" w:space="0" w:color="auto"/>
                  </w:divBdr>
                  <w:divsChild>
                    <w:div w:id="1432387190">
                      <w:marLeft w:val="0"/>
                      <w:marRight w:val="0"/>
                      <w:marTop w:val="0"/>
                      <w:marBottom w:val="0"/>
                      <w:divBdr>
                        <w:top w:val="none" w:sz="0" w:space="0" w:color="auto"/>
                        <w:left w:val="none" w:sz="0" w:space="0" w:color="auto"/>
                        <w:bottom w:val="none" w:sz="0" w:space="0" w:color="auto"/>
                        <w:right w:val="none" w:sz="0" w:space="0" w:color="auto"/>
                      </w:divBdr>
                      <w:divsChild>
                        <w:div w:id="1600525449">
                          <w:marLeft w:val="0"/>
                          <w:marRight w:val="0"/>
                          <w:marTop w:val="0"/>
                          <w:marBottom w:val="0"/>
                          <w:divBdr>
                            <w:top w:val="none" w:sz="0" w:space="0" w:color="auto"/>
                            <w:left w:val="none" w:sz="0" w:space="0" w:color="auto"/>
                            <w:bottom w:val="single" w:sz="6" w:space="0" w:color="DBDBDB"/>
                            <w:right w:val="none" w:sz="0" w:space="0" w:color="auto"/>
                          </w:divBdr>
                          <w:divsChild>
                            <w:div w:id="713233095">
                              <w:marLeft w:val="0"/>
                              <w:marRight w:val="0"/>
                              <w:marTop w:val="0"/>
                              <w:marBottom w:val="0"/>
                              <w:divBdr>
                                <w:top w:val="none" w:sz="0" w:space="0" w:color="auto"/>
                                <w:left w:val="none" w:sz="0" w:space="0" w:color="auto"/>
                                <w:bottom w:val="none" w:sz="0" w:space="0" w:color="auto"/>
                                <w:right w:val="none" w:sz="0" w:space="0" w:color="auto"/>
                              </w:divBdr>
                              <w:divsChild>
                                <w:div w:id="1633054982">
                                  <w:marLeft w:val="0"/>
                                  <w:marRight w:val="0"/>
                                  <w:marTop w:val="0"/>
                                  <w:marBottom w:val="0"/>
                                  <w:divBdr>
                                    <w:top w:val="none" w:sz="0" w:space="0" w:color="auto"/>
                                    <w:left w:val="none" w:sz="0" w:space="0" w:color="auto"/>
                                    <w:bottom w:val="none" w:sz="0" w:space="0" w:color="auto"/>
                                    <w:right w:val="none" w:sz="0" w:space="0" w:color="auto"/>
                                  </w:divBdr>
                                  <w:divsChild>
                                    <w:div w:id="1380781266">
                                      <w:marLeft w:val="0"/>
                                      <w:marRight w:val="0"/>
                                      <w:marTop w:val="0"/>
                                      <w:marBottom w:val="0"/>
                                      <w:divBdr>
                                        <w:top w:val="none" w:sz="0" w:space="0" w:color="auto"/>
                                        <w:left w:val="none" w:sz="0" w:space="0" w:color="auto"/>
                                        <w:bottom w:val="none" w:sz="0" w:space="0" w:color="auto"/>
                                        <w:right w:val="none" w:sz="0" w:space="0" w:color="auto"/>
                                      </w:divBdr>
                                    </w:div>
                                    <w:div w:id="162550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335438">
      <w:bodyDiv w:val="1"/>
      <w:marLeft w:val="0"/>
      <w:marRight w:val="0"/>
      <w:marTop w:val="0"/>
      <w:marBottom w:val="0"/>
      <w:divBdr>
        <w:top w:val="none" w:sz="0" w:space="0" w:color="auto"/>
        <w:left w:val="none" w:sz="0" w:space="0" w:color="auto"/>
        <w:bottom w:val="none" w:sz="0" w:space="0" w:color="auto"/>
        <w:right w:val="none" w:sz="0" w:space="0" w:color="auto"/>
      </w:divBdr>
    </w:div>
    <w:div w:id="2066948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547E3-228C-4836-9356-72AD5DEC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2081</Words>
  <Characters>11866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Pa Public Utility Commission</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Screven, David</dc:creator>
  <cp:lastModifiedBy>Screven, David</cp:lastModifiedBy>
  <cp:revision>2</cp:revision>
  <cp:lastPrinted>2018-09-04T13:46:00Z</cp:lastPrinted>
  <dcterms:created xsi:type="dcterms:W3CDTF">2018-09-05T18:44:00Z</dcterms:created>
  <dcterms:modified xsi:type="dcterms:W3CDTF">2018-09-05T18:44:00Z</dcterms:modified>
</cp:coreProperties>
</file>