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106" w:rsidRDefault="002A5106" w:rsidP="002A5106">
      <w:pPr>
        <w:tabs>
          <w:tab w:val="left" w:pos="3345"/>
        </w:tabs>
        <w:spacing w:before="0" w:line="200" w:lineRule="auto"/>
      </w:pPr>
      <w:bookmarkStart w:id="0" w:name="dbreak"/>
      <w:bookmarkStart w:id="1" w:name="_GoBack"/>
      <w:bookmarkEnd w:id="0"/>
      <w:bookmarkEnd w:id="1"/>
    </w:p>
    <w:p w:rsidR="002A5106" w:rsidRDefault="002A5106" w:rsidP="002A5106">
      <w:pPr>
        <w:spacing w:before="0" w:line="260" w:lineRule="auto"/>
      </w:pPr>
    </w:p>
    <w:p w:rsidR="002A5106" w:rsidRDefault="002A5106" w:rsidP="002A5106">
      <w:pPr>
        <w:spacing w:before="0"/>
        <w:jc w:val="center"/>
        <w:rPr>
          <w:b/>
        </w:rPr>
      </w:pPr>
      <w:r>
        <w:rPr>
          <w:b/>
        </w:rPr>
        <w:t>UNITED STATES OF AMERICA</w:t>
      </w:r>
    </w:p>
    <w:p w:rsidR="002A5106" w:rsidRDefault="002A5106" w:rsidP="002A5106">
      <w:pPr>
        <w:spacing w:before="0"/>
        <w:ind w:left="2560"/>
      </w:pPr>
    </w:p>
    <w:p w:rsidR="002A5106" w:rsidRPr="00E92853" w:rsidRDefault="002A5106" w:rsidP="002A5106">
      <w:pPr>
        <w:spacing w:before="0"/>
        <w:jc w:val="center"/>
      </w:pPr>
      <w:r>
        <w:t xml:space="preserve">DRAFT </w:t>
      </w:r>
      <w:r w:rsidRPr="00E92853">
        <w:t>PROPOSAL</w:t>
      </w:r>
      <w:r>
        <w:t>S</w:t>
      </w:r>
      <w:r w:rsidRPr="00E92853">
        <w:t xml:space="preserve"> FOR THE WORK OF THE CONFERENCE</w:t>
      </w:r>
    </w:p>
    <w:p w:rsidR="002A5106" w:rsidRDefault="002A5106" w:rsidP="002A5106">
      <w:pPr>
        <w:spacing w:before="0" w:line="314" w:lineRule="auto"/>
      </w:pPr>
    </w:p>
    <w:p w:rsidR="00EC272C" w:rsidRDefault="00EC272C" w:rsidP="008C20ED">
      <w:pPr>
        <w:jc w:val="center"/>
        <w:rPr>
          <w:b/>
        </w:rPr>
      </w:pPr>
      <w:r w:rsidRPr="00EC272C">
        <w:rPr>
          <w:b/>
        </w:rPr>
        <w:t>Agenda Item 1.</w:t>
      </w:r>
      <w:r w:rsidR="001D1A1C">
        <w:rPr>
          <w:b/>
        </w:rPr>
        <w:t>13</w:t>
      </w:r>
    </w:p>
    <w:p w:rsidR="000C604E" w:rsidRPr="00EC272C" w:rsidRDefault="000C604E" w:rsidP="00C95B12">
      <w:pPr>
        <w:spacing w:before="0"/>
        <w:jc w:val="both"/>
        <w:rPr>
          <w:b/>
          <w:iCs/>
        </w:rPr>
      </w:pPr>
    </w:p>
    <w:p w:rsidR="006C1EC5" w:rsidRPr="006C1EC5" w:rsidRDefault="006C1EC5" w:rsidP="00573DDD">
      <w:pPr>
        <w:widowControl w:val="0"/>
        <w:jc w:val="both"/>
        <w:rPr>
          <w:szCs w:val="24"/>
        </w:rPr>
      </w:pPr>
      <w:r>
        <w:rPr>
          <w:b/>
          <w:szCs w:val="24"/>
        </w:rPr>
        <w:t xml:space="preserve">Agenda Item 1.13: </w:t>
      </w:r>
      <w:r w:rsidRPr="006C1EC5">
        <w:rPr>
          <w:i/>
          <w:szCs w:val="24"/>
        </w:rPr>
        <w:t>to consider identification of frequency bands for the future development of International Mobile Telecommunications (IMT), including possible additional allocations to the mobile service on a primary basis, in accordance</w:t>
      </w:r>
      <w:r>
        <w:rPr>
          <w:i/>
          <w:szCs w:val="24"/>
        </w:rPr>
        <w:t xml:space="preserve"> </w:t>
      </w:r>
      <w:r w:rsidRPr="001D1A1C">
        <w:rPr>
          <w:i/>
          <w:iCs/>
        </w:rPr>
        <w:t>with Resolution </w:t>
      </w:r>
      <w:r w:rsidRPr="00064B24">
        <w:rPr>
          <w:b/>
          <w:bCs/>
          <w:iCs/>
        </w:rPr>
        <w:t>238 (WRC-15)</w:t>
      </w:r>
    </w:p>
    <w:p w:rsidR="00B35642" w:rsidRDefault="00B35642" w:rsidP="00573DDD">
      <w:pPr>
        <w:widowControl w:val="0"/>
        <w:jc w:val="both"/>
        <w:rPr>
          <w:b/>
          <w:szCs w:val="24"/>
        </w:rPr>
      </w:pPr>
    </w:p>
    <w:p w:rsidR="00573DDD" w:rsidRPr="00C95B12" w:rsidRDefault="005D4CFD" w:rsidP="00573DDD">
      <w:pPr>
        <w:widowControl w:val="0"/>
        <w:jc w:val="both"/>
        <w:rPr>
          <w:b/>
          <w:sz w:val="22"/>
          <w:szCs w:val="22"/>
        </w:rPr>
      </w:pPr>
      <w:r w:rsidRPr="00C95B12">
        <w:rPr>
          <w:b/>
          <w:szCs w:val="24"/>
        </w:rPr>
        <w:t>Background</w:t>
      </w:r>
      <w:r w:rsidR="00B93186" w:rsidRPr="00C95B12">
        <w:rPr>
          <w:b/>
          <w:szCs w:val="24"/>
        </w:rPr>
        <w:t xml:space="preserve"> Information:  </w:t>
      </w:r>
    </w:p>
    <w:p w:rsidR="00573DDD" w:rsidRDefault="00732417" w:rsidP="00B35642">
      <w:pPr>
        <w:spacing w:before="0"/>
        <w:rPr>
          <w:lang w:val="en-US" w:eastAsia="ja-JP"/>
        </w:rPr>
      </w:pPr>
      <w:r>
        <w:rPr>
          <w:szCs w:val="22"/>
        </w:rPr>
        <w:t xml:space="preserve">Both terrestrial </w:t>
      </w:r>
      <w:r w:rsidR="007A54D0">
        <w:rPr>
          <w:szCs w:val="22"/>
        </w:rPr>
        <w:t xml:space="preserve">and satellite </w:t>
      </w:r>
      <w:r w:rsidR="007A54D0" w:rsidRPr="0086713F">
        <w:rPr>
          <w:szCs w:val="22"/>
        </w:rPr>
        <w:t xml:space="preserve">broadband </w:t>
      </w:r>
      <w:r w:rsidR="007A54D0">
        <w:rPr>
          <w:szCs w:val="22"/>
        </w:rPr>
        <w:t xml:space="preserve">services </w:t>
      </w:r>
      <w:r w:rsidR="00573DDD" w:rsidRPr="00064B24">
        <w:rPr>
          <w:szCs w:val="22"/>
        </w:rPr>
        <w:t>play a crucial role in providing access to businesses and consumers worldwide</w:t>
      </w:r>
      <w:r w:rsidR="0098164E">
        <w:rPr>
          <w:szCs w:val="22"/>
        </w:rPr>
        <w:t xml:space="preserve"> and will be critical components of 5G networks</w:t>
      </w:r>
      <w:r w:rsidR="00B35642">
        <w:rPr>
          <w:szCs w:val="22"/>
        </w:rPr>
        <w:t xml:space="preserve">.  </w:t>
      </w:r>
      <w:r w:rsidR="0098164E">
        <w:rPr>
          <w:szCs w:val="22"/>
        </w:rPr>
        <w:t xml:space="preserve">For continuity, </w:t>
      </w:r>
      <w:r w:rsidR="00C61879">
        <w:rPr>
          <w:szCs w:val="22"/>
        </w:rPr>
        <w:t>resiliency</w:t>
      </w:r>
      <w:r w:rsidR="0098164E">
        <w:rPr>
          <w:szCs w:val="22"/>
        </w:rPr>
        <w:t xml:space="preserve"> and broad connec</w:t>
      </w:r>
      <w:r w:rsidR="00C61879">
        <w:rPr>
          <w:szCs w:val="22"/>
        </w:rPr>
        <w:t>ti</w:t>
      </w:r>
      <w:r w:rsidR="0098164E">
        <w:rPr>
          <w:szCs w:val="22"/>
        </w:rPr>
        <w:t>vity solu</w:t>
      </w:r>
      <w:r w:rsidR="00C61879">
        <w:rPr>
          <w:szCs w:val="22"/>
        </w:rPr>
        <w:t>t</w:t>
      </w:r>
      <w:r w:rsidR="0098164E">
        <w:rPr>
          <w:szCs w:val="22"/>
        </w:rPr>
        <w:t xml:space="preserve">ions, satellite broadband </w:t>
      </w:r>
      <w:r w:rsidR="004D4884">
        <w:rPr>
          <w:szCs w:val="22"/>
        </w:rPr>
        <w:t xml:space="preserve">is an </w:t>
      </w:r>
      <w:r w:rsidR="0098164E">
        <w:rPr>
          <w:szCs w:val="22"/>
        </w:rPr>
        <w:t>indispe</w:t>
      </w:r>
      <w:r w:rsidR="00B35642">
        <w:rPr>
          <w:szCs w:val="22"/>
        </w:rPr>
        <w:t xml:space="preserve">nsable part of the 5G network.  </w:t>
      </w:r>
      <w:r w:rsidR="00810EBF">
        <w:rPr>
          <w:lang w:val="en-US" w:eastAsia="ja-JP"/>
        </w:rPr>
        <w:t>Because of increased demand for satellite broadband services, there is a need for additional spectrum being made available to support its growing user base.</w:t>
      </w:r>
    </w:p>
    <w:p w:rsidR="00B35642" w:rsidRPr="00064B24" w:rsidRDefault="00B35642" w:rsidP="00B35642">
      <w:pPr>
        <w:spacing w:before="0"/>
        <w:rPr>
          <w:szCs w:val="22"/>
        </w:rPr>
      </w:pPr>
    </w:p>
    <w:p w:rsidR="00DD104A" w:rsidRDefault="008D10AD" w:rsidP="00B35642">
      <w:pPr>
        <w:spacing w:before="0"/>
      </w:pPr>
      <w:r>
        <w:t xml:space="preserve">Broadband satellite systems </w:t>
      </w:r>
      <w:r w:rsidR="00732417">
        <w:t>require</w:t>
      </w:r>
      <w:r>
        <w:t xml:space="preserve"> access to unencumbered uplink spectrum to operate </w:t>
      </w:r>
      <w:r w:rsidR="00471A71">
        <w:t xml:space="preserve">widely deployed </w:t>
      </w:r>
      <w:r w:rsidR="00B35642">
        <w:t xml:space="preserve">transmitting user terminals.  </w:t>
      </w:r>
      <w:r>
        <w:t xml:space="preserve">To satisfy this </w:t>
      </w:r>
      <w:r w:rsidR="00710068">
        <w:t xml:space="preserve">minimum </w:t>
      </w:r>
      <w:r>
        <w:t xml:space="preserve">requirement, ITU footnote 5.516B identifies 2 GHz of uplink spectrum for high-density </w:t>
      </w:r>
      <w:r w:rsidR="004F1A06">
        <w:t xml:space="preserve">fixed-satellite service </w:t>
      </w:r>
      <w:r w:rsidR="008F2933">
        <w:t xml:space="preserve">(HDFSS) </w:t>
      </w:r>
      <w:r w:rsidR="00270BEA">
        <w:t xml:space="preserve">operations </w:t>
      </w:r>
      <w:r w:rsidR="00732417">
        <w:t xml:space="preserve">in ITU Region 2 </w:t>
      </w:r>
      <w:r w:rsidR="00270BEA">
        <w:t xml:space="preserve">in the 48.2-50.2 GHz </w:t>
      </w:r>
      <w:r w:rsidR="00732417">
        <w:t xml:space="preserve">band </w:t>
      </w:r>
      <w:r w:rsidR="00270BEA">
        <w:t xml:space="preserve">(Earth-to-space), paired with the 40-42 GHz </w:t>
      </w:r>
      <w:r w:rsidR="00732417">
        <w:t>band (space-to-Earth)</w:t>
      </w:r>
      <w:r w:rsidR="00710068">
        <w:t xml:space="preserve"> (see Resolution </w:t>
      </w:r>
      <w:r w:rsidR="00710068" w:rsidRPr="00710068">
        <w:rPr>
          <w:b/>
        </w:rPr>
        <w:t>143 (Rev. WRC-07)</w:t>
      </w:r>
      <w:r w:rsidR="00710068">
        <w:t>)</w:t>
      </w:r>
      <w:r w:rsidR="00732417">
        <w:t xml:space="preserve">. </w:t>
      </w:r>
    </w:p>
    <w:p w:rsidR="00B35642" w:rsidRDefault="00B35642" w:rsidP="00B35642">
      <w:pPr>
        <w:spacing w:before="0"/>
      </w:pPr>
    </w:p>
    <w:p w:rsidR="00DD104A" w:rsidRDefault="00DD104A" w:rsidP="00B35642">
      <w:pPr>
        <w:spacing w:before="0"/>
        <w:rPr>
          <w:lang w:val="en-US"/>
        </w:rPr>
      </w:pPr>
      <w:r>
        <w:rPr>
          <w:lang w:val="en-US"/>
        </w:rPr>
        <w:t xml:space="preserve">HDFSS </w:t>
      </w:r>
      <w:r>
        <w:t xml:space="preserve">operations </w:t>
      </w:r>
      <w:r w:rsidRPr="0007745B">
        <w:t>provide access to a wide range of broadband telecommunication applications</w:t>
      </w:r>
      <w:r>
        <w:t xml:space="preserve">, including broadband services and machine-to-machine (M2M) communications, both independently and in </w:t>
      </w:r>
      <w:r w:rsidRPr="0007745B">
        <w:t xml:space="preserve">complement </w:t>
      </w:r>
      <w:r>
        <w:t xml:space="preserve">with </w:t>
      </w:r>
      <w:r w:rsidRPr="0007745B">
        <w:t>other telecommunication systems</w:t>
      </w:r>
      <w:r w:rsidR="00B35642">
        <w:t xml:space="preserve">.  </w:t>
      </w:r>
      <w:r>
        <w:t>Growth in the satellite M2M market is expected to reach $2.9 billion by 2026, driven by 6.8 million in-service terminals.</w:t>
      </w:r>
      <w:r>
        <w:rPr>
          <w:rStyle w:val="FootnoteReference"/>
        </w:rPr>
        <w:footnoteReference w:id="1"/>
      </w:r>
      <w:r w:rsidR="00B35642">
        <w:t xml:space="preserve">  </w:t>
      </w:r>
      <w:r>
        <w:rPr>
          <w:lang w:val="en-US"/>
        </w:rPr>
        <w:t xml:space="preserve">These terminals will be </w:t>
      </w:r>
      <w:r w:rsidRPr="004D70BA">
        <w:rPr>
          <w:lang w:val="en-US"/>
        </w:rPr>
        <w:t>deployed over urban, suburban and rural areas of large geographical extent</w:t>
      </w:r>
      <w:r>
        <w:rPr>
          <w:lang w:val="en-US"/>
        </w:rPr>
        <w:t>, and the practicability of techniques to successfully manage co-frequency sharing with ubiquitous terrestrial services, such as IMT, has not been demonstrated.</w:t>
      </w:r>
    </w:p>
    <w:p w:rsidR="00B35642" w:rsidRPr="00EE3EC1" w:rsidRDefault="00B35642" w:rsidP="00B35642">
      <w:pPr>
        <w:spacing w:before="0"/>
      </w:pPr>
    </w:p>
    <w:p w:rsidR="008D10AD" w:rsidRDefault="008F2933" w:rsidP="00B35642">
      <w:pPr>
        <w:spacing w:before="0"/>
      </w:pPr>
      <w:r>
        <w:t xml:space="preserve">HDFSS </w:t>
      </w:r>
      <w:r w:rsidRPr="008F2933">
        <w:t xml:space="preserve">systems </w:t>
      </w:r>
      <w:r>
        <w:t>require</w:t>
      </w:r>
      <w:r w:rsidRPr="008F2933">
        <w:t xml:space="preserve"> flexible, rapid and ubiquitous deployment of large numbers of cost-optimized earth stations employing small antennas and having common technical characteristics</w:t>
      </w:r>
      <w:r w:rsidR="00270BEA">
        <w:t>.</w:t>
      </w:r>
      <w:r w:rsidR="0007745B">
        <w:t xml:space="preserve"> The identification of bands for HDFSS </w:t>
      </w:r>
      <w:r w:rsidR="0007745B" w:rsidRPr="0007745B">
        <w:t>facilitate</w:t>
      </w:r>
      <w:r w:rsidR="0007745B">
        <w:t xml:space="preserve">s its </w:t>
      </w:r>
      <w:r w:rsidR="0007745B" w:rsidRPr="0007745B">
        <w:t xml:space="preserve">implementation </w:t>
      </w:r>
      <w:r w:rsidR="0007745B">
        <w:t xml:space="preserve">and maximizes </w:t>
      </w:r>
      <w:r w:rsidR="0007745B" w:rsidRPr="0007745B">
        <w:t>global access and economies of scale</w:t>
      </w:r>
      <w:r w:rsidR="00B35642">
        <w:t>.</w:t>
      </w:r>
    </w:p>
    <w:p w:rsidR="00B35642" w:rsidRDefault="00B35642" w:rsidP="00B35642">
      <w:pPr>
        <w:spacing w:before="0"/>
      </w:pPr>
    </w:p>
    <w:p w:rsidR="00B334BB" w:rsidRDefault="004D70BA" w:rsidP="00B35642">
      <w:pPr>
        <w:spacing w:before="0"/>
      </w:pPr>
      <w:r>
        <w:t>The United States has reserved the HDFSS identifications at 48.2-50.2 GHz and 40-42 GHz for exclusive FSS use, finding that</w:t>
      </w:r>
      <w:r w:rsidR="00394CCD">
        <w:t xml:space="preserve"> broadband </w:t>
      </w:r>
      <w:r w:rsidR="00394CCD" w:rsidRPr="003208A4">
        <w:t xml:space="preserve">services delivered over </w:t>
      </w:r>
      <w:r>
        <w:t xml:space="preserve">satellite </w:t>
      </w:r>
      <w:r w:rsidR="00394CCD" w:rsidRPr="003208A4">
        <w:t xml:space="preserve">networks </w:t>
      </w:r>
      <w:r w:rsidR="00394CCD">
        <w:t>could play a useful role in bringing the benefits</w:t>
      </w:r>
      <w:r w:rsidR="00B35642">
        <w:t xml:space="preserve"> of broadband to more Americans.  </w:t>
      </w:r>
      <w:r w:rsidR="00394CCD">
        <w:t xml:space="preserve">Given the current state of satellite technology, these systems would need access to spectrum where satellite end user devices </w:t>
      </w:r>
      <w:r w:rsidR="00394CCD">
        <w:lastRenderedPageBreak/>
        <w:t>can operate</w:t>
      </w:r>
      <w:r>
        <w:t xml:space="preserve"> and be</w:t>
      </w:r>
      <w:r w:rsidR="00394CCD">
        <w:t xml:space="preserve"> freely deploy</w:t>
      </w:r>
      <w:r>
        <w:t>ed</w:t>
      </w:r>
      <w:r w:rsidR="00394CCD">
        <w:t xml:space="preserve"> uplink user terminals across the United States.</w:t>
      </w:r>
      <w:r w:rsidR="00394CCD">
        <w:rPr>
          <w:rStyle w:val="FootnoteReference"/>
        </w:rPr>
        <w:footnoteReference w:id="2"/>
      </w:r>
      <w:r w:rsidR="00B35642">
        <w:t xml:space="preserve">  </w:t>
      </w:r>
      <w:r w:rsidR="00AB1F12">
        <w:t>An identification of the 48.2-50.2 GHz and 40-42 GHz frequency bands for IMT is incompatible with this objective.</w:t>
      </w:r>
      <w:r w:rsidR="00B334BB">
        <w:t xml:space="preserve"> </w:t>
      </w:r>
    </w:p>
    <w:p w:rsidR="00E80590" w:rsidRDefault="00E80590" w:rsidP="00E80590">
      <w:pPr>
        <w:pStyle w:val="Heading1"/>
        <w:rPr>
          <w:b w:val="0"/>
          <w:sz w:val="24"/>
          <w:szCs w:val="24"/>
        </w:rPr>
      </w:pPr>
      <w:r w:rsidRPr="00A91046">
        <w:rPr>
          <w:sz w:val="24"/>
          <w:szCs w:val="24"/>
        </w:rPr>
        <w:t>Proposals</w:t>
      </w:r>
      <w:r w:rsidRPr="00E8145A">
        <w:rPr>
          <w:b w:val="0"/>
          <w:sz w:val="24"/>
          <w:szCs w:val="24"/>
        </w:rPr>
        <w:t xml:space="preserve">:  </w:t>
      </w:r>
    </w:p>
    <w:p w:rsidR="0099592B" w:rsidRPr="00B456B9" w:rsidRDefault="00E72D0A" w:rsidP="0099592B">
      <w:pPr>
        <w:pStyle w:val="Heading1"/>
        <w:rPr>
          <w:b w:val="0"/>
          <w:sz w:val="24"/>
          <w:szCs w:val="24"/>
        </w:rPr>
      </w:pPr>
      <w:r>
        <w:rPr>
          <w:sz w:val="24"/>
          <w:szCs w:val="24"/>
          <w:u w:val="single"/>
        </w:rPr>
        <w:t>NOC</w:t>
      </w:r>
      <w:r w:rsidR="004977F5">
        <w:rPr>
          <w:sz w:val="24"/>
          <w:szCs w:val="24"/>
        </w:rPr>
        <w:tab/>
      </w:r>
      <w:r w:rsidR="00B456B9" w:rsidRPr="00B456B9">
        <w:rPr>
          <w:sz w:val="24"/>
          <w:szCs w:val="24"/>
        </w:rPr>
        <w:t>USA/1.</w:t>
      </w:r>
      <w:r w:rsidR="00D20E28" w:rsidRPr="00B456B9">
        <w:rPr>
          <w:sz w:val="24"/>
          <w:szCs w:val="24"/>
        </w:rPr>
        <w:t>1</w:t>
      </w:r>
      <w:r w:rsidR="00D20E28">
        <w:rPr>
          <w:sz w:val="24"/>
          <w:szCs w:val="24"/>
        </w:rPr>
        <w:t>3</w:t>
      </w:r>
      <w:r w:rsidR="00B456B9" w:rsidRPr="00B456B9">
        <w:rPr>
          <w:sz w:val="24"/>
          <w:szCs w:val="24"/>
        </w:rPr>
        <w:t>/1</w:t>
      </w:r>
    </w:p>
    <w:p w:rsidR="005D4CFD" w:rsidRPr="00804A96" w:rsidRDefault="005D4CFD" w:rsidP="00EC272C">
      <w:pPr>
        <w:pStyle w:val="ArtNo"/>
        <w:rPr>
          <w:rFonts w:eastAsiaTheme="minorEastAsia"/>
          <w:szCs w:val="24"/>
        </w:rPr>
      </w:pPr>
      <w:r w:rsidRPr="00804A96">
        <w:rPr>
          <w:rFonts w:eastAsiaTheme="minorEastAsia"/>
          <w:szCs w:val="24"/>
        </w:rPr>
        <w:t>ARTICLE 5</w:t>
      </w:r>
    </w:p>
    <w:p w:rsidR="005D4CFD" w:rsidRPr="00804A96" w:rsidRDefault="005D4CFD" w:rsidP="00EC272C">
      <w:pPr>
        <w:pStyle w:val="Arttitle"/>
        <w:rPr>
          <w:rFonts w:eastAsiaTheme="minorEastAsia"/>
          <w:szCs w:val="24"/>
        </w:rPr>
      </w:pPr>
      <w:r w:rsidRPr="00804A96">
        <w:rPr>
          <w:rFonts w:eastAsiaTheme="minorEastAsia"/>
          <w:szCs w:val="24"/>
        </w:rPr>
        <w:t>Frequency allocations</w:t>
      </w:r>
    </w:p>
    <w:p w:rsidR="00F273C8" w:rsidRDefault="00F273C8" w:rsidP="0008608B">
      <w:pPr>
        <w:spacing w:after="120"/>
        <w:jc w:val="center"/>
        <w:rPr>
          <w:b/>
        </w:rPr>
      </w:pPr>
    </w:p>
    <w:p w:rsidR="00080A14" w:rsidRPr="0008608B" w:rsidRDefault="00E72D0A" w:rsidP="0008608B">
      <w:pPr>
        <w:spacing w:after="120"/>
        <w:jc w:val="center"/>
        <w:rPr>
          <w:b/>
        </w:rPr>
      </w:pPr>
      <w:r w:rsidRPr="0008608B">
        <w:rPr>
          <w:b/>
        </w:rPr>
        <w:t>47.5-51.4 GHz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E72D0A" w:rsidTr="002A6BFD">
        <w:tc>
          <w:tcPr>
            <w:tcW w:w="9629" w:type="dxa"/>
            <w:gridSpan w:val="3"/>
          </w:tcPr>
          <w:p w:rsidR="00E72D0A" w:rsidRPr="0008608B" w:rsidRDefault="00E72D0A" w:rsidP="00834256">
            <w:pPr>
              <w:spacing w:before="0"/>
              <w:jc w:val="center"/>
              <w:rPr>
                <w:b/>
              </w:rPr>
            </w:pPr>
            <w:r w:rsidRPr="0008608B">
              <w:rPr>
                <w:b/>
              </w:rPr>
              <w:t>Allocation to services</w:t>
            </w:r>
          </w:p>
        </w:tc>
      </w:tr>
      <w:tr w:rsidR="00E72D0A" w:rsidTr="0008608B">
        <w:trPr>
          <w:trHeight w:val="405"/>
        </w:trPr>
        <w:tc>
          <w:tcPr>
            <w:tcW w:w="3209" w:type="dxa"/>
            <w:vAlign w:val="center"/>
          </w:tcPr>
          <w:p w:rsidR="00E72D0A" w:rsidRPr="0008608B" w:rsidRDefault="00E72D0A" w:rsidP="0008608B">
            <w:pPr>
              <w:spacing w:before="0"/>
              <w:jc w:val="center"/>
              <w:rPr>
                <w:b/>
              </w:rPr>
            </w:pPr>
            <w:r w:rsidRPr="0008608B">
              <w:rPr>
                <w:b/>
              </w:rPr>
              <w:t>Region 1</w:t>
            </w:r>
          </w:p>
        </w:tc>
        <w:tc>
          <w:tcPr>
            <w:tcW w:w="3210" w:type="dxa"/>
            <w:vAlign w:val="center"/>
          </w:tcPr>
          <w:p w:rsidR="00E72D0A" w:rsidRPr="0008608B" w:rsidRDefault="00E72D0A" w:rsidP="0008608B">
            <w:pPr>
              <w:spacing w:before="0"/>
              <w:jc w:val="center"/>
              <w:rPr>
                <w:b/>
              </w:rPr>
            </w:pPr>
            <w:r w:rsidRPr="0008608B">
              <w:rPr>
                <w:b/>
              </w:rPr>
              <w:t>Region 2</w:t>
            </w:r>
          </w:p>
        </w:tc>
        <w:tc>
          <w:tcPr>
            <w:tcW w:w="3210" w:type="dxa"/>
            <w:vAlign w:val="center"/>
          </w:tcPr>
          <w:p w:rsidR="00E72D0A" w:rsidRPr="0008608B" w:rsidRDefault="00E72D0A" w:rsidP="0008608B">
            <w:pPr>
              <w:spacing w:before="0"/>
              <w:jc w:val="center"/>
              <w:rPr>
                <w:b/>
              </w:rPr>
            </w:pPr>
            <w:r w:rsidRPr="0008608B">
              <w:rPr>
                <w:b/>
              </w:rPr>
              <w:t>Region 3</w:t>
            </w:r>
          </w:p>
        </w:tc>
      </w:tr>
      <w:tr w:rsidR="00834256" w:rsidTr="004A31CC">
        <w:trPr>
          <w:trHeight w:val="405"/>
        </w:trPr>
        <w:tc>
          <w:tcPr>
            <w:tcW w:w="3209" w:type="dxa"/>
          </w:tcPr>
          <w:p w:rsidR="00834256" w:rsidRPr="00834256" w:rsidRDefault="00834256" w:rsidP="00834256">
            <w:pPr>
              <w:rPr>
                <w:b/>
                <w:bCs/>
                <w:lang w:val="en-US"/>
              </w:rPr>
            </w:pPr>
            <w:r w:rsidRPr="00834256">
              <w:rPr>
                <w:b/>
                <w:bCs/>
                <w:lang w:val="en-US"/>
              </w:rPr>
              <w:t>48.2-48.54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FIXED-SATELLITE</w:t>
            </w:r>
          </w:p>
          <w:p w:rsidR="00834256" w:rsidRPr="0008608B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08608B">
              <w:rPr>
                <w:lang w:val="en-US"/>
              </w:rPr>
              <w:t>(Earth-to-space) 5.552</w:t>
            </w:r>
          </w:p>
          <w:p w:rsidR="00834256" w:rsidRPr="0008608B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08608B">
              <w:rPr>
                <w:lang w:val="en-US"/>
              </w:rPr>
              <w:t>(space-to-Earth) 5.516B</w:t>
            </w:r>
          </w:p>
          <w:p w:rsidR="00834256" w:rsidRPr="0008608B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08608B">
              <w:rPr>
                <w:lang w:val="en-US"/>
              </w:rPr>
              <w:t>5.554A 5.555B</w:t>
            </w:r>
          </w:p>
          <w:p w:rsidR="00834256" w:rsidRDefault="00834256" w:rsidP="0008608B">
            <w:pPr>
              <w:spacing w:before="0"/>
            </w:pPr>
            <w:r w:rsidRPr="00834256">
              <w:rPr>
                <w:lang w:val="en-US"/>
              </w:rPr>
              <w:t>MOBILE</w:t>
            </w:r>
          </w:p>
        </w:tc>
        <w:tc>
          <w:tcPr>
            <w:tcW w:w="6420" w:type="dxa"/>
            <w:gridSpan w:val="2"/>
            <w:vMerge w:val="restart"/>
          </w:tcPr>
          <w:p w:rsidR="00834256" w:rsidRPr="00834256" w:rsidRDefault="00834256" w:rsidP="00834256">
            <w:pPr>
              <w:rPr>
                <w:b/>
                <w:bCs/>
                <w:lang w:val="en-US"/>
              </w:rPr>
            </w:pPr>
            <w:r w:rsidRPr="00834256">
              <w:rPr>
                <w:b/>
                <w:bCs/>
                <w:lang w:val="en-US"/>
              </w:rPr>
              <w:t>48.2-50.2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FIXED-SATELLITE (Earth-to-space) 5.516B 5.338A 5.552</w:t>
            </w:r>
          </w:p>
          <w:p w:rsid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MOBILE</w:t>
            </w:r>
          </w:p>
          <w:p w:rsidR="00834256" w:rsidRDefault="00834256" w:rsidP="00834256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r w:rsidRPr="00834256">
              <w:rPr>
                <w:lang w:val="en-US"/>
              </w:rPr>
              <w:t>5.149 5.340 5.555</w:t>
            </w:r>
          </w:p>
        </w:tc>
      </w:tr>
      <w:tr w:rsidR="00834256" w:rsidTr="004A31CC">
        <w:trPr>
          <w:trHeight w:val="405"/>
        </w:trPr>
        <w:tc>
          <w:tcPr>
            <w:tcW w:w="3209" w:type="dxa"/>
          </w:tcPr>
          <w:p w:rsidR="00834256" w:rsidRPr="00834256" w:rsidRDefault="00834256" w:rsidP="00834256">
            <w:pPr>
              <w:rPr>
                <w:b/>
                <w:bCs/>
                <w:lang w:val="en-US"/>
              </w:rPr>
            </w:pPr>
            <w:r w:rsidRPr="00834256">
              <w:rPr>
                <w:b/>
                <w:bCs/>
                <w:lang w:val="en-US"/>
              </w:rPr>
              <w:t>48.54-49.44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FIXED-SATELLITE</w:t>
            </w:r>
          </w:p>
          <w:p w:rsidR="00834256" w:rsidRPr="00834256" w:rsidRDefault="00834256" w:rsidP="0008608B">
            <w:pPr>
              <w:spacing w:before="0"/>
              <w:ind w:firstLine="337"/>
              <w:rPr>
                <w:lang w:val="en-US"/>
              </w:rPr>
            </w:pPr>
            <w:r w:rsidRPr="00834256">
              <w:rPr>
                <w:lang w:val="en-US"/>
              </w:rPr>
              <w:t>(Earth-to-space) 5.552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MOBILE</w:t>
            </w:r>
          </w:p>
          <w:p w:rsidR="00834256" w:rsidRDefault="00834256" w:rsidP="0008608B">
            <w:pPr>
              <w:spacing w:before="0"/>
            </w:pPr>
            <w:r w:rsidRPr="00834256">
              <w:rPr>
                <w:lang w:val="en-US"/>
              </w:rPr>
              <w:t>5.149 5.340 5.555</w:t>
            </w:r>
          </w:p>
        </w:tc>
        <w:tc>
          <w:tcPr>
            <w:tcW w:w="6420" w:type="dxa"/>
            <w:gridSpan w:val="2"/>
            <w:vMerge/>
          </w:tcPr>
          <w:p w:rsidR="00834256" w:rsidRDefault="00834256" w:rsidP="00E10FED"/>
        </w:tc>
      </w:tr>
      <w:tr w:rsidR="00834256" w:rsidTr="004A31CC">
        <w:trPr>
          <w:trHeight w:val="405"/>
        </w:trPr>
        <w:tc>
          <w:tcPr>
            <w:tcW w:w="3209" w:type="dxa"/>
          </w:tcPr>
          <w:p w:rsidR="00834256" w:rsidRPr="00834256" w:rsidRDefault="00834256" w:rsidP="00834256">
            <w:pPr>
              <w:rPr>
                <w:b/>
                <w:bCs/>
                <w:lang w:val="en-US"/>
              </w:rPr>
            </w:pPr>
            <w:r w:rsidRPr="00834256">
              <w:rPr>
                <w:b/>
                <w:bCs/>
                <w:lang w:val="en-US"/>
              </w:rPr>
              <w:t>49.44-50.2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FIXED-SATELLITE</w:t>
            </w:r>
          </w:p>
          <w:p w:rsidR="00834256" w:rsidRPr="00834256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834256">
              <w:rPr>
                <w:lang w:val="en-US"/>
              </w:rPr>
              <w:t>(Earth-to-space) 5.338A 5.552</w:t>
            </w:r>
          </w:p>
          <w:p w:rsidR="00834256" w:rsidRPr="00834256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834256">
              <w:rPr>
                <w:lang w:val="en-US"/>
              </w:rPr>
              <w:t>(space-to-Earth) 5.516B</w:t>
            </w:r>
          </w:p>
          <w:p w:rsidR="00834256" w:rsidRPr="00834256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834256">
              <w:rPr>
                <w:lang w:val="en-US"/>
              </w:rPr>
              <w:t>5.554A 5.555B</w:t>
            </w:r>
          </w:p>
          <w:p w:rsidR="00834256" w:rsidRDefault="00834256" w:rsidP="0008608B">
            <w:pPr>
              <w:spacing w:before="0"/>
            </w:pPr>
            <w:r w:rsidRPr="00834256">
              <w:rPr>
                <w:lang w:val="en-US"/>
              </w:rPr>
              <w:t>MOBILE</w:t>
            </w:r>
          </w:p>
        </w:tc>
        <w:tc>
          <w:tcPr>
            <w:tcW w:w="6420" w:type="dxa"/>
            <w:gridSpan w:val="2"/>
            <w:vMerge/>
          </w:tcPr>
          <w:p w:rsidR="00834256" w:rsidRDefault="00834256" w:rsidP="00E10FED"/>
        </w:tc>
      </w:tr>
    </w:tbl>
    <w:p w:rsidR="00E72D0A" w:rsidRDefault="00E72D0A" w:rsidP="00E10FED"/>
    <w:p w:rsidR="004F1A06" w:rsidRPr="004F1A06" w:rsidRDefault="00732417" w:rsidP="00E10FED">
      <w:r w:rsidRPr="003C4B39">
        <w:rPr>
          <w:b/>
        </w:rPr>
        <w:t>Reason</w:t>
      </w:r>
      <w:r w:rsidRPr="00933434">
        <w:t xml:space="preserve">:  </w:t>
      </w:r>
      <w:r w:rsidR="00AB1F12">
        <w:t xml:space="preserve">An IMT identification at 48.2-50.2 GHz is incompatible with the HDFSS identifications in the same band, which </w:t>
      </w:r>
      <w:r w:rsidR="004D70BA">
        <w:t xml:space="preserve">provides dedicated spectrum for ubiquitously deployed user terminals </w:t>
      </w:r>
      <w:r w:rsidR="00B35642">
        <w:t xml:space="preserve">for broadband and M2M services.  </w:t>
      </w:r>
      <w:r w:rsidR="004D70BA">
        <w:rPr>
          <w:szCs w:val="24"/>
        </w:rPr>
        <w:t>T</w:t>
      </w:r>
      <w:r w:rsidR="004D70BA" w:rsidRPr="004D70BA">
        <w:rPr>
          <w:szCs w:val="24"/>
        </w:rPr>
        <w:t>he current state of satellite technology</w:t>
      </w:r>
      <w:r w:rsidR="008164A3">
        <w:rPr>
          <w:szCs w:val="24"/>
        </w:rPr>
        <w:t xml:space="preserve"> requires </w:t>
      </w:r>
      <w:r w:rsidR="004D70BA" w:rsidRPr="004D70BA">
        <w:rPr>
          <w:szCs w:val="24"/>
        </w:rPr>
        <w:t>access to spectrum where satellite end user devices can operate and be freely deployed</w:t>
      </w:r>
      <w:r w:rsidR="00AB1F12">
        <w:rPr>
          <w:szCs w:val="24"/>
        </w:rPr>
        <w:t xml:space="preserve"> without constraints caused by ubiquitous terrestrial services in the same band</w:t>
      </w:r>
      <w:r w:rsidR="008164A3">
        <w:rPr>
          <w:szCs w:val="24"/>
        </w:rPr>
        <w:t>.</w:t>
      </w:r>
      <w:r w:rsidR="00B35642" w:rsidRPr="004F1A06">
        <w:t xml:space="preserve"> </w:t>
      </w:r>
    </w:p>
    <w:sectPr w:rsidR="004F1A06" w:rsidRPr="004F1A06" w:rsidSect="007568B7">
      <w:headerReference w:type="default" r:id="rId8"/>
      <w:headerReference w:type="first" r:id="rId9"/>
      <w:pgSz w:w="11907" w:h="16834"/>
      <w:pgMar w:top="1418" w:right="1134" w:bottom="1418" w:left="1134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E68" w:rsidRDefault="00577E68">
      <w:r>
        <w:separator/>
      </w:r>
    </w:p>
  </w:endnote>
  <w:endnote w:type="continuationSeparator" w:id="0">
    <w:p w:rsidR="00577E68" w:rsidRDefault="0057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E68" w:rsidRDefault="00577E68">
      <w:r>
        <w:t>____________________</w:t>
      </w:r>
    </w:p>
  </w:footnote>
  <w:footnote w:type="continuationSeparator" w:id="0">
    <w:p w:rsidR="00577E68" w:rsidRDefault="00577E68">
      <w:r>
        <w:continuationSeparator/>
      </w:r>
    </w:p>
  </w:footnote>
  <w:footnote w:id="1">
    <w:p w:rsidR="00DD104A" w:rsidRPr="0007745B" w:rsidRDefault="00DD104A" w:rsidP="00DD104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Alan </w:t>
      </w:r>
      <w:proofErr w:type="spellStart"/>
      <w:r>
        <w:rPr>
          <w:lang w:val="en-US"/>
        </w:rPr>
        <w:t>Weissberger</w:t>
      </w:r>
      <w:proofErr w:type="spellEnd"/>
      <w:r>
        <w:rPr>
          <w:lang w:val="en-US"/>
        </w:rPr>
        <w:t xml:space="preserve">, IEEE Communication Society Blog, </w:t>
      </w:r>
      <w:r w:rsidRPr="0007745B">
        <w:rPr>
          <w:i/>
        </w:rPr>
        <w:t>NSR: Satellite IoT market forecast at $2.9B by 2026</w:t>
      </w:r>
      <w:r>
        <w:t xml:space="preserve"> (Oct. 1, 2017) (</w:t>
      </w:r>
      <w:r w:rsidRPr="0007745B">
        <w:rPr>
          <w:i/>
        </w:rPr>
        <w:t>available at</w:t>
      </w:r>
      <w:r>
        <w:t xml:space="preserve"> </w:t>
      </w:r>
      <w:hyperlink r:id="rId1" w:history="1">
        <w:r w:rsidRPr="00103250">
          <w:rPr>
            <w:rStyle w:val="Hyperlink"/>
          </w:rPr>
          <w:t>http://techblog.comsoc.org/2017/10/01/nsr-satellite-iot-market-forecast-at-2-9b-by-2026/</w:t>
        </w:r>
      </w:hyperlink>
      <w:r>
        <w:t xml:space="preserve">). </w:t>
      </w:r>
    </w:p>
  </w:footnote>
  <w:footnote w:id="2">
    <w:p w:rsidR="00394CCD" w:rsidRPr="00E95640" w:rsidRDefault="00394CCD" w:rsidP="00394CCD">
      <w:pPr>
        <w:pStyle w:val="FootnoteText"/>
      </w:pPr>
      <w:r w:rsidRPr="00E95640">
        <w:rPr>
          <w:rStyle w:val="FootnoteReference"/>
        </w:rPr>
        <w:footnoteRef/>
      </w:r>
      <w:r w:rsidRPr="00E95640">
        <w:t xml:space="preserve"> </w:t>
      </w:r>
      <w:r w:rsidR="008164A3" w:rsidRPr="008164A3">
        <w:rPr>
          <w:i/>
        </w:rPr>
        <w:t xml:space="preserve">Spectrum </w:t>
      </w:r>
      <w:r w:rsidR="008049AB" w:rsidRPr="008164A3">
        <w:rPr>
          <w:i/>
        </w:rPr>
        <w:t>Frontiers</w:t>
      </w:r>
      <w:r w:rsidR="008164A3" w:rsidRPr="008164A3">
        <w:rPr>
          <w:i/>
        </w:rPr>
        <w:t xml:space="preserve"> Second </w:t>
      </w:r>
      <w:r w:rsidR="008049AB" w:rsidRPr="008164A3">
        <w:rPr>
          <w:i/>
        </w:rPr>
        <w:t>Report</w:t>
      </w:r>
      <w:r w:rsidR="008164A3" w:rsidRPr="008164A3">
        <w:rPr>
          <w:i/>
        </w:rPr>
        <w:t xml:space="preserve"> and Order</w:t>
      </w:r>
      <w:r w:rsidR="008164A3">
        <w:t xml:space="preserve"> </w:t>
      </w:r>
      <w:r w:rsidR="008164A3">
        <w:rPr>
          <w:rFonts w:ascii="Calibri" w:hAnsi="Calibri"/>
        </w:rPr>
        <w:t>¶</w:t>
      </w:r>
      <w:r w:rsidR="008164A3">
        <w:t>189.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8B7" w:rsidRDefault="007568B7" w:rsidP="007568B7">
    <w:pPr>
      <w:pStyle w:val="Header"/>
      <w:jc w:val="right"/>
      <w:rPr>
        <w:sz w:val="24"/>
        <w:szCs w:val="24"/>
      </w:rPr>
    </w:pPr>
    <w:r w:rsidRPr="00C95B12">
      <w:rPr>
        <w:sz w:val="24"/>
        <w:szCs w:val="24"/>
      </w:rPr>
      <w:t>IWG-</w:t>
    </w:r>
    <w:r w:rsidR="001D1A1C" w:rsidRPr="00C95B12">
      <w:rPr>
        <w:sz w:val="24"/>
        <w:szCs w:val="24"/>
      </w:rPr>
      <w:t>2</w:t>
    </w:r>
    <w:r w:rsidRPr="00C95B12">
      <w:rPr>
        <w:sz w:val="24"/>
        <w:szCs w:val="24"/>
      </w:rPr>
      <w:t>/</w:t>
    </w:r>
    <w:r w:rsidR="00C01CC4">
      <w:rPr>
        <w:sz w:val="24"/>
        <w:szCs w:val="24"/>
      </w:rPr>
      <w:t>072</w:t>
    </w:r>
    <w:r w:rsidR="005675EF" w:rsidRPr="00C95B12">
      <w:rPr>
        <w:sz w:val="24"/>
        <w:szCs w:val="24"/>
      </w:rPr>
      <w:t xml:space="preserve"> </w:t>
    </w:r>
    <w:r w:rsidRPr="00C95B12">
      <w:rPr>
        <w:sz w:val="24"/>
        <w:szCs w:val="24"/>
      </w:rPr>
      <w:t>(</w:t>
    </w:r>
    <w:r w:rsidR="00C01CC4">
      <w:rPr>
        <w:sz w:val="24"/>
        <w:szCs w:val="24"/>
      </w:rPr>
      <w:t>10</w:t>
    </w:r>
    <w:r w:rsidRPr="00C95B12">
      <w:rPr>
        <w:sz w:val="24"/>
        <w:szCs w:val="24"/>
      </w:rPr>
      <w:t>.</w:t>
    </w:r>
    <w:r w:rsidR="00C01CC4">
      <w:rPr>
        <w:sz w:val="24"/>
        <w:szCs w:val="24"/>
      </w:rPr>
      <w:t>04</w:t>
    </w:r>
    <w:r w:rsidRPr="00C95B12">
      <w:rPr>
        <w:sz w:val="24"/>
        <w:szCs w:val="24"/>
      </w:rPr>
      <w:t>.18)</w:t>
    </w:r>
  </w:p>
  <w:p w:rsidR="00B35642" w:rsidRPr="00C95B12" w:rsidRDefault="00B35642" w:rsidP="007568B7">
    <w:pPr>
      <w:pStyle w:val="Header"/>
      <w:jc w:val="right"/>
      <w:rPr>
        <w:i/>
        <w:sz w:val="24"/>
        <w:szCs w:val="24"/>
      </w:rPr>
    </w:pPr>
    <w:r>
      <w:rPr>
        <w:sz w:val="24"/>
        <w:szCs w:val="24"/>
      </w:rPr>
      <w:t xml:space="preserve">Brennan Price- </w:t>
    </w:r>
    <w:proofErr w:type="spellStart"/>
    <w:r>
      <w:rPr>
        <w:sz w:val="24"/>
        <w:szCs w:val="24"/>
      </w:rPr>
      <w:t>Echostar</w:t>
    </w:r>
    <w:proofErr w:type="spellEnd"/>
  </w:p>
  <w:p w:rsidR="007568B7" w:rsidRDefault="007568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81" w:rsidRPr="005F04A7" w:rsidRDefault="00747481" w:rsidP="00747481">
    <w:pPr>
      <w:pStyle w:val="Header"/>
      <w:jc w:val="right"/>
      <w:rPr>
        <w:rFonts w:asciiTheme="minorHAnsi" w:hAnsiTheme="minorHAnsi" w:cstheme="minorHAnsi"/>
        <w:i/>
        <w:sz w:val="24"/>
        <w:szCs w:val="24"/>
      </w:rPr>
    </w:pPr>
    <w:r w:rsidRPr="005F04A7">
      <w:rPr>
        <w:rFonts w:asciiTheme="minorHAnsi" w:hAnsiTheme="minorHAnsi" w:cstheme="minorHAnsi"/>
        <w:sz w:val="24"/>
        <w:szCs w:val="24"/>
      </w:rPr>
      <w:t>IWG-1/XXX (01.22.18)</w:t>
    </w:r>
  </w:p>
  <w:p w:rsidR="00B82CC4" w:rsidRDefault="00B82C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7931A6"/>
    <w:multiLevelType w:val="hybridMultilevel"/>
    <w:tmpl w:val="DCE0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D0C30"/>
    <w:multiLevelType w:val="hybridMultilevel"/>
    <w:tmpl w:val="7A14F310"/>
    <w:lvl w:ilvl="0" w:tplc="E53CAE34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A784A"/>
    <w:multiLevelType w:val="hybridMultilevel"/>
    <w:tmpl w:val="6B48094E"/>
    <w:lvl w:ilvl="0" w:tplc="E53CAE34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601A2"/>
    <w:multiLevelType w:val="hybridMultilevel"/>
    <w:tmpl w:val="81449F98"/>
    <w:lvl w:ilvl="0" w:tplc="277E79D6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1"/>
  <w:activeWritingStyle w:appName="MSWord" w:lang="en-AU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FD"/>
    <w:rsid w:val="000069D4"/>
    <w:rsid w:val="000174AD"/>
    <w:rsid w:val="000203C6"/>
    <w:rsid w:val="000242FE"/>
    <w:rsid w:val="00047A1D"/>
    <w:rsid w:val="000566F0"/>
    <w:rsid w:val="000604B9"/>
    <w:rsid w:val="00064B24"/>
    <w:rsid w:val="00065482"/>
    <w:rsid w:val="0007745B"/>
    <w:rsid w:val="00080A14"/>
    <w:rsid w:val="0008608B"/>
    <w:rsid w:val="0009376D"/>
    <w:rsid w:val="000A7D55"/>
    <w:rsid w:val="000B6C1D"/>
    <w:rsid w:val="000C12C8"/>
    <w:rsid w:val="000C2E8E"/>
    <w:rsid w:val="000C604E"/>
    <w:rsid w:val="000E0E7C"/>
    <w:rsid w:val="000F1B4B"/>
    <w:rsid w:val="00106007"/>
    <w:rsid w:val="00117D0F"/>
    <w:rsid w:val="00117E95"/>
    <w:rsid w:val="001266C7"/>
    <w:rsid w:val="0012744F"/>
    <w:rsid w:val="00130001"/>
    <w:rsid w:val="00131178"/>
    <w:rsid w:val="00133E43"/>
    <w:rsid w:val="001413AA"/>
    <w:rsid w:val="00156F66"/>
    <w:rsid w:val="00163271"/>
    <w:rsid w:val="001663FC"/>
    <w:rsid w:val="00182528"/>
    <w:rsid w:val="001849EC"/>
    <w:rsid w:val="0018500B"/>
    <w:rsid w:val="00193C8F"/>
    <w:rsid w:val="00196A19"/>
    <w:rsid w:val="001B0065"/>
    <w:rsid w:val="001D1A1C"/>
    <w:rsid w:val="001F1F8E"/>
    <w:rsid w:val="001F6DA7"/>
    <w:rsid w:val="00202DC1"/>
    <w:rsid w:val="00204045"/>
    <w:rsid w:val="002116EE"/>
    <w:rsid w:val="002309D8"/>
    <w:rsid w:val="00243FF1"/>
    <w:rsid w:val="00251747"/>
    <w:rsid w:val="00261AAA"/>
    <w:rsid w:val="00270BEA"/>
    <w:rsid w:val="002735AB"/>
    <w:rsid w:val="0027472B"/>
    <w:rsid w:val="002A3E53"/>
    <w:rsid w:val="002A5106"/>
    <w:rsid w:val="002A7FE2"/>
    <w:rsid w:val="002B05F5"/>
    <w:rsid w:val="002B0FB9"/>
    <w:rsid w:val="002C6755"/>
    <w:rsid w:val="002E1B4F"/>
    <w:rsid w:val="002F2E67"/>
    <w:rsid w:val="002F7CB3"/>
    <w:rsid w:val="00312288"/>
    <w:rsid w:val="00315546"/>
    <w:rsid w:val="003176CF"/>
    <w:rsid w:val="00330567"/>
    <w:rsid w:val="003353AD"/>
    <w:rsid w:val="003408F2"/>
    <w:rsid w:val="003423E5"/>
    <w:rsid w:val="00363727"/>
    <w:rsid w:val="00364EBA"/>
    <w:rsid w:val="00386A9D"/>
    <w:rsid w:val="00390E59"/>
    <w:rsid w:val="00391081"/>
    <w:rsid w:val="00392F7E"/>
    <w:rsid w:val="00394CCD"/>
    <w:rsid w:val="003A420A"/>
    <w:rsid w:val="003B2789"/>
    <w:rsid w:val="003B3222"/>
    <w:rsid w:val="003B5C1E"/>
    <w:rsid w:val="003B7F26"/>
    <w:rsid w:val="003C13CE"/>
    <w:rsid w:val="003D2A7C"/>
    <w:rsid w:val="003E02A0"/>
    <w:rsid w:val="003E2518"/>
    <w:rsid w:val="003E7CEF"/>
    <w:rsid w:val="003F71F2"/>
    <w:rsid w:val="00450E8D"/>
    <w:rsid w:val="00471A71"/>
    <w:rsid w:val="00474ACC"/>
    <w:rsid w:val="004903AF"/>
    <w:rsid w:val="004917A6"/>
    <w:rsid w:val="004977F5"/>
    <w:rsid w:val="004A640D"/>
    <w:rsid w:val="004B1EF7"/>
    <w:rsid w:val="004B3FAD"/>
    <w:rsid w:val="004C5749"/>
    <w:rsid w:val="004D4884"/>
    <w:rsid w:val="004D70BA"/>
    <w:rsid w:val="004E60B2"/>
    <w:rsid w:val="004F1A06"/>
    <w:rsid w:val="00501DCA"/>
    <w:rsid w:val="00513A47"/>
    <w:rsid w:val="005151CA"/>
    <w:rsid w:val="005407AD"/>
    <w:rsid w:val="005408DF"/>
    <w:rsid w:val="00545F81"/>
    <w:rsid w:val="00550527"/>
    <w:rsid w:val="005650CC"/>
    <w:rsid w:val="005671F0"/>
    <w:rsid w:val="005675EF"/>
    <w:rsid w:val="00573344"/>
    <w:rsid w:val="00573DDD"/>
    <w:rsid w:val="00577E68"/>
    <w:rsid w:val="00581B0F"/>
    <w:rsid w:val="00583863"/>
    <w:rsid w:val="00583F9B"/>
    <w:rsid w:val="005A6D14"/>
    <w:rsid w:val="005D4CFD"/>
    <w:rsid w:val="005D5BEA"/>
    <w:rsid w:val="005E5C10"/>
    <w:rsid w:val="005E7C15"/>
    <w:rsid w:val="005F04A7"/>
    <w:rsid w:val="005F2C78"/>
    <w:rsid w:val="006144E4"/>
    <w:rsid w:val="00615601"/>
    <w:rsid w:val="00626940"/>
    <w:rsid w:val="00634191"/>
    <w:rsid w:val="00641676"/>
    <w:rsid w:val="00650299"/>
    <w:rsid w:val="00655FC5"/>
    <w:rsid w:val="006862F2"/>
    <w:rsid w:val="00695308"/>
    <w:rsid w:val="006B5804"/>
    <w:rsid w:val="006C1EC5"/>
    <w:rsid w:val="006C3512"/>
    <w:rsid w:val="006D45DA"/>
    <w:rsid w:val="006E2A47"/>
    <w:rsid w:val="006E50E3"/>
    <w:rsid w:val="00703853"/>
    <w:rsid w:val="00710068"/>
    <w:rsid w:val="007117DC"/>
    <w:rsid w:val="00724C24"/>
    <w:rsid w:val="00732417"/>
    <w:rsid w:val="00747481"/>
    <w:rsid w:val="007568B7"/>
    <w:rsid w:val="00757C51"/>
    <w:rsid w:val="00795083"/>
    <w:rsid w:val="007A0F55"/>
    <w:rsid w:val="007A54D0"/>
    <w:rsid w:val="007B78EB"/>
    <w:rsid w:val="007D6533"/>
    <w:rsid w:val="007E3755"/>
    <w:rsid w:val="008049AB"/>
    <w:rsid w:val="00804A96"/>
    <w:rsid w:val="00810EBF"/>
    <w:rsid w:val="00812046"/>
    <w:rsid w:val="00814E0A"/>
    <w:rsid w:val="00815FAA"/>
    <w:rsid w:val="008164A3"/>
    <w:rsid w:val="008213E0"/>
    <w:rsid w:val="00822581"/>
    <w:rsid w:val="00823788"/>
    <w:rsid w:val="00824189"/>
    <w:rsid w:val="008309DD"/>
    <w:rsid w:val="0083227A"/>
    <w:rsid w:val="00832D58"/>
    <w:rsid w:val="00834256"/>
    <w:rsid w:val="0083436D"/>
    <w:rsid w:val="00841D13"/>
    <w:rsid w:val="00866900"/>
    <w:rsid w:val="00876A8A"/>
    <w:rsid w:val="00881607"/>
    <w:rsid w:val="00881BA1"/>
    <w:rsid w:val="008C20ED"/>
    <w:rsid w:val="008C2302"/>
    <w:rsid w:val="008C26B8"/>
    <w:rsid w:val="008C79DA"/>
    <w:rsid w:val="008D10AD"/>
    <w:rsid w:val="008F208F"/>
    <w:rsid w:val="008F2933"/>
    <w:rsid w:val="0091101E"/>
    <w:rsid w:val="00913131"/>
    <w:rsid w:val="0092113B"/>
    <w:rsid w:val="00932071"/>
    <w:rsid w:val="00944ECF"/>
    <w:rsid w:val="00945617"/>
    <w:rsid w:val="00953C92"/>
    <w:rsid w:val="00972CE4"/>
    <w:rsid w:val="0098164E"/>
    <w:rsid w:val="00982084"/>
    <w:rsid w:val="009856D4"/>
    <w:rsid w:val="009920E1"/>
    <w:rsid w:val="0099592B"/>
    <w:rsid w:val="00995963"/>
    <w:rsid w:val="00997157"/>
    <w:rsid w:val="009B61EB"/>
    <w:rsid w:val="009C2064"/>
    <w:rsid w:val="009C2721"/>
    <w:rsid w:val="009D1697"/>
    <w:rsid w:val="009D23C4"/>
    <w:rsid w:val="009D3F7C"/>
    <w:rsid w:val="009E31EB"/>
    <w:rsid w:val="009F3A46"/>
    <w:rsid w:val="009F6520"/>
    <w:rsid w:val="00A014F8"/>
    <w:rsid w:val="00A046E6"/>
    <w:rsid w:val="00A07E3F"/>
    <w:rsid w:val="00A12D7D"/>
    <w:rsid w:val="00A1691A"/>
    <w:rsid w:val="00A30DEF"/>
    <w:rsid w:val="00A46799"/>
    <w:rsid w:val="00A5173C"/>
    <w:rsid w:val="00A61AEF"/>
    <w:rsid w:val="00A91046"/>
    <w:rsid w:val="00AA029B"/>
    <w:rsid w:val="00AB1F12"/>
    <w:rsid w:val="00AB30CA"/>
    <w:rsid w:val="00AB5186"/>
    <w:rsid w:val="00AD21DA"/>
    <w:rsid w:val="00AD2345"/>
    <w:rsid w:val="00AE5DE8"/>
    <w:rsid w:val="00AF173A"/>
    <w:rsid w:val="00AF4B8F"/>
    <w:rsid w:val="00B01025"/>
    <w:rsid w:val="00B04F74"/>
    <w:rsid w:val="00B066A4"/>
    <w:rsid w:val="00B07A13"/>
    <w:rsid w:val="00B334BB"/>
    <w:rsid w:val="00B342AC"/>
    <w:rsid w:val="00B35642"/>
    <w:rsid w:val="00B36019"/>
    <w:rsid w:val="00B4279B"/>
    <w:rsid w:val="00B456B9"/>
    <w:rsid w:val="00B45FC9"/>
    <w:rsid w:val="00B5084A"/>
    <w:rsid w:val="00B76F35"/>
    <w:rsid w:val="00B81138"/>
    <w:rsid w:val="00B82CC4"/>
    <w:rsid w:val="00B90792"/>
    <w:rsid w:val="00B93186"/>
    <w:rsid w:val="00BB489E"/>
    <w:rsid w:val="00BB5A3B"/>
    <w:rsid w:val="00BC7CCF"/>
    <w:rsid w:val="00BD62A8"/>
    <w:rsid w:val="00BE470B"/>
    <w:rsid w:val="00BE59D3"/>
    <w:rsid w:val="00BF4652"/>
    <w:rsid w:val="00C001F9"/>
    <w:rsid w:val="00C01CC4"/>
    <w:rsid w:val="00C3725D"/>
    <w:rsid w:val="00C41260"/>
    <w:rsid w:val="00C57A91"/>
    <w:rsid w:val="00C61879"/>
    <w:rsid w:val="00C62A48"/>
    <w:rsid w:val="00C835E1"/>
    <w:rsid w:val="00C95B12"/>
    <w:rsid w:val="00CA2A89"/>
    <w:rsid w:val="00CC01C2"/>
    <w:rsid w:val="00CD2700"/>
    <w:rsid w:val="00CD4A20"/>
    <w:rsid w:val="00CE41C2"/>
    <w:rsid w:val="00CE51BF"/>
    <w:rsid w:val="00CE6AB5"/>
    <w:rsid w:val="00CF21F2"/>
    <w:rsid w:val="00D02712"/>
    <w:rsid w:val="00D046A7"/>
    <w:rsid w:val="00D05CD2"/>
    <w:rsid w:val="00D20E28"/>
    <w:rsid w:val="00D214D0"/>
    <w:rsid w:val="00D6546B"/>
    <w:rsid w:val="00D9718C"/>
    <w:rsid w:val="00DA03A4"/>
    <w:rsid w:val="00DA761D"/>
    <w:rsid w:val="00DB178B"/>
    <w:rsid w:val="00DB2139"/>
    <w:rsid w:val="00DC17D3"/>
    <w:rsid w:val="00DD104A"/>
    <w:rsid w:val="00DD4BED"/>
    <w:rsid w:val="00DE1213"/>
    <w:rsid w:val="00DE39F0"/>
    <w:rsid w:val="00DF0AF3"/>
    <w:rsid w:val="00DF1BB5"/>
    <w:rsid w:val="00DF7E9F"/>
    <w:rsid w:val="00E10FED"/>
    <w:rsid w:val="00E27D7E"/>
    <w:rsid w:val="00E3044F"/>
    <w:rsid w:val="00E3420F"/>
    <w:rsid w:val="00E349FD"/>
    <w:rsid w:val="00E371E7"/>
    <w:rsid w:val="00E42E13"/>
    <w:rsid w:val="00E459DF"/>
    <w:rsid w:val="00E56D5C"/>
    <w:rsid w:val="00E5740D"/>
    <w:rsid w:val="00E6257C"/>
    <w:rsid w:val="00E63C59"/>
    <w:rsid w:val="00E67391"/>
    <w:rsid w:val="00E67793"/>
    <w:rsid w:val="00E72D0A"/>
    <w:rsid w:val="00E80574"/>
    <w:rsid w:val="00E80590"/>
    <w:rsid w:val="00E8065D"/>
    <w:rsid w:val="00E8145A"/>
    <w:rsid w:val="00E81866"/>
    <w:rsid w:val="00E84D1F"/>
    <w:rsid w:val="00E91DA8"/>
    <w:rsid w:val="00EA6693"/>
    <w:rsid w:val="00EB0261"/>
    <w:rsid w:val="00EB4323"/>
    <w:rsid w:val="00EB7E5C"/>
    <w:rsid w:val="00EC272C"/>
    <w:rsid w:val="00EC3E95"/>
    <w:rsid w:val="00EE5146"/>
    <w:rsid w:val="00EF0B62"/>
    <w:rsid w:val="00F165E7"/>
    <w:rsid w:val="00F21C63"/>
    <w:rsid w:val="00F25662"/>
    <w:rsid w:val="00F25D0A"/>
    <w:rsid w:val="00F273C8"/>
    <w:rsid w:val="00F3508B"/>
    <w:rsid w:val="00F44E58"/>
    <w:rsid w:val="00F667EA"/>
    <w:rsid w:val="00F86AF7"/>
    <w:rsid w:val="00F93C94"/>
    <w:rsid w:val="00FA124A"/>
    <w:rsid w:val="00FB0272"/>
    <w:rsid w:val="00FB5680"/>
    <w:rsid w:val="00FC08DD"/>
    <w:rsid w:val="00FC2316"/>
    <w:rsid w:val="00FC2CFD"/>
    <w:rsid w:val="00FC5947"/>
    <w:rsid w:val="00FE4179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F6E4020-FDA7-4A3C-9761-7FAA5341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link w:val="ArttitleCar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Footnote Reference/,Appel note de bas de p,Style 12,(NECG) Footnote Reference,Style 124,Style 13,fr,o,Style 3,FR,Style 17,Style 6,Style 4,Style 7,Footnote Reference1,Style 34,Style 9,Style 20,callout,-E Funotenzeichen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DNV-FT,ALTS FOOTNOTE,Footnote Text Char Char1,Footnote Text Char4 Char Char,Footnote Text Char1 Char1 Char1 Char,Footnote Text Char Char1 Char1 Char Char,Footnote Text Char1 Char1 Char1 Char Char Char1,DNV- Char Char,fn,Footnote Text Char1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link w:val="ProposalChar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DNV-FT Char,ALTS FOOTNOTE Char,Footnote Text Char Char1 Char,Footnote Text Char4 Char Char Char,Footnote Text Char1 Char1 Char1 Char Char,Footnote Text Char Char1 Char1 Char Char Char,DNV- Char Char Char,fn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NormalaftertitleChar">
    <w:name w:val="Normal_after_title Char"/>
    <w:basedOn w:val="DefaultParagraphFont"/>
    <w:link w:val="Normalaftertitle"/>
    <w:locked/>
    <w:rsid w:val="005D4CFD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locked/>
    <w:rsid w:val="005D4CFD"/>
    <w:rPr>
      <w:rFonts w:ascii="Times New Roman" w:hAnsi="Times New Roman"/>
      <w:sz w:val="24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5D4CFD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5D4CFD"/>
    <w:rPr>
      <w:rFonts w:ascii="Times New Roman" w:hAnsi="Times New Roman"/>
      <w:b/>
      <w:sz w:val="28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5D4CFD"/>
    <w:rPr>
      <w:rFonts w:ascii="Times New Roman" w:hAnsi="Times New Roman Bold"/>
      <w:b/>
      <w:sz w:val="24"/>
      <w:lang w:val="en-GB" w:eastAsia="en-US"/>
    </w:rPr>
  </w:style>
  <w:style w:type="character" w:customStyle="1" w:styleId="href">
    <w:name w:val="href"/>
    <w:basedOn w:val="DefaultParagraphFont"/>
    <w:rsid w:val="005D4CFD"/>
  </w:style>
  <w:style w:type="character" w:customStyle="1" w:styleId="ReasonsChar">
    <w:name w:val="Reasons Char"/>
    <w:basedOn w:val="DefaultParagraphFont"/>
    <w:link w:val="Reasons"/>
    <w:locked/>
    <w:rsid w:val="005D4CFD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D4CFD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textAlignment w:val="auto"/>
    </w:pPr>
    <w:rPr>
      <w:color w:val="000000"/>
      <w:szCs w:val="24"/>
      <w:lang w:val="fr-FR" w:eastAsia="fr-FR"/>
    </w:rPr>
  </w:style>
  <w:style w:type="paragraph" w:styleId="BalloonText">
    <w:name w:val="Balloon Text"/>
    <w:basedOn w:val="Normal"/>
    <w:link w:val="BalloonTextChar"/>
    <w:semiHidden/>
    <w:unhideWhenUsed/>
    <w:rsid w:val="0082418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4189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EF0B6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F0B6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0B62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0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0B62"/>
    <w:rPr>
      <w:rFonts w:ascii="Times New Roman" w:hAnsi="Times New Roman"/>
      <w:b/>
      <w:bCs/>
      <w:lang w:val="en-GB" w:eastAsia="en-US"/>
    </w:rPr>
  </w:style>
  <w:style w:type="character" w:styleId="Hyperlink">
    <w:name w:val="Hyperlink"/>
    <w:unhideWhenUsed/>
    <w:rsid w:val="00573DDD"/>
    <w:rPr>
      <w:color w:val="0000FF"/>
      <w:u w:val="single"/>
    </w:rPr>
  </w:style>
  <w:style w:type="character" w:customStyle="1" w:styleId="NoteChar">
    <w:name w:val="Note Char"/>
    <w:basedOn w:val="DefaultParagraphFont"/>
    <w:link w:val="Note"/>
    <w:locked/>
    <w:rsid w:val="00724C24"/>
    <w:rPr>
      <w:rFonts w:ascii="Times New Roman" w:hAnsi="Times New Roman"/>
      <w:sz w:val="24"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626940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E59D3"/>
    <w:rPr>
      <w:color w:val="808080"/>
      <w:shd w:val="clear" w:color="auto" w:fill="E6E6E6"/>
    </w:rPr>
  </w:style>
  <w:style w:type="table" w:styleId="TableGrid">
    <w:name w:val="Table Grid"/>
    <w:basedOn w:val="TableNormal"/>
    <w:rsid w:val="00E72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echblog.comsoc.org/2017/10/01/nsr-satellite-iot-market-forecast-at-2-9b-by-202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C5E4-CC93-4690-AAD7-127FE6E5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Cramer, Joseph</dc:creator>
  <cp:keywords/>
  <cp:lastModifiedBy>JS</cp:lastModifiedBy>
  <cp:revision>2</cp:revision>
  <dcterms:created xsi:type="dcterms:W3CDTF">2018-09-06T23:31:00Z</dcterms:created>
  <dcterms:modified xsi:type="dcterms:W3CDTF">2018-09-06T23:31:00Z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a748b1b1-bc9d-4533-93b3-73719700688a</vt:lpwstr>
  </property>
  <property fmtid="{D5CDD505-2E9C-101B-9397-08002B2CF9AE}" pid="4" name="CTPClassification">
    <vt:lpwstr>CTP_NT</vt:lpwstr>
  </property>
</Properties>
</file>