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39B7" w:rsidRPr="008A2E24" w:rsidRDefault="00CD39B7" w:rsidP="00CD39B7">
      <w:pPr>
        <w:contextualSpacing/>
        <w:rPr>
          <w:rFonts w:cs="Arial"/>
          <w:szCs w:val="24"/>
        </w:rPr>
      </w:pPr>
    </w:p>
    <w:p w:rsidR="00CD39B7" w:rsidRPr="008A2E24" w:rsidRDefault="00CD39B7" w:rsidP="000F3B31">
      <w:pPr>
        <w:contextualSpacing/>
        <w:jc w:val="center"/>
        <w:rPr>
          <w:rFonts w:cs="Arial"/>
          <w:szCs w:val="24"/>
        </w:rPr>
      </w:pPr>
      <w:r w:rsidRPr="008A2E24">
        <w:rPr>
          <w:rFonts w:cs="Arial"/>
          <w:szCs w:val="24"/>
        </w:rPr>
        <w:t>September 17, 2018</w:t>
      </w:r>
    </w:p>
    <w:p w:rsidR="00CD39B7" w:rsidRPr="008A2E24" w:rsidRDefault="00CD39B7" w:rsidP="00CD39B7">
      <w:pPr>
        <w:ind w:left="720"/>
        <w:contextualSpacing/>
        <w:jc w:val="right"/>
        <w:rPr>
          <w:rFonts w:cs="Arial"/>
          <w:szCs w:val="24"/>
        </w:rPr>
      </w:pPr>
    </w:p>
    <w:p w:rsidR="00CD39B7" w:rsidRPr="008A2E24" w:rsidRDefault="00CD39B7" w:rsidP="00CD39B7">
      <w:pPr>
        <w:contextualSpacing/>
        <w:rPr>
          <w:rFonts w:cs="Arial"/>
          <w:szCs w:val="24"/>
        </w:rPr>
      </w:pPr>
      <w:r w:rsidRPr="008A2E24">
        <w:rPr>
          <w:rFonts w:cs="Arial"/>
          <w:szCs w:val="24"/>
        </w:rPr>
        <w:t xml:space="preserve">Marlene Dortch </w:t>
      </w:r>
    </w:p>
    <w:p w:rsidR="00CD39B7" w:rsidRPr="008A2E24" w:rsidRDefault="00CD39B7" w:rsidP="00CD39B7">
      <w:pPr>
        <w:contextualSpacing/>
        <w:rPr>
          <w:rFonts w:cs="Arial"/>
          <w:szCs w:val="24"/>
        </w:rPr>
      </w:pPr>
      <w:r w:rsidRPr="008A2E24">
        <w:rPr>
          <w:rFonts w:cs="Arial"/>
          <w:szCs w:val="24"/>
        </w:rPr>
        <w:t xml:space="preserve">Office of the Secretary </w:t>
      </w:r>
    </w:p>
    <w:p w:rsidR="00CD39B7" w:rsidRPr="008A2E24" w:rsidRDefault="00CD39B7" w:rsidP="00CD39B7">
      <w:pPr>
        <w:contextualSpacing/>
        <w:rPr>
          <w:rFonts w:cs="Arial"/>
          <w:szCs w:val="24"/>
        </w:rPr>
      </w:pPr>
      <w:r w:rsidRPr="008A2E24">
        <w:rPr>
          <w:rFonts w:cs="Arial"/>
          <w:szCs w:val="24"/>
        </w:rPr>
        <w:t xml:space="preserve">Federal Communications Commission </w:t>
      </w:r>
    </w:p>
    <w:p w:rsidR="00CD39B7" w:rsidRPr="008A2E24" w:rsidRDefault="00CD39B7" w:rsidP="00CD39B7">
      <w:pPr>
        <w:contextualSpacing/>
        <w:rPr>
          <w:rFonts w:cs="Arial"/>
          <w:szCs w:val="24"/>
        </w:rPr>
      </w:pPr>
      <w:r w:rsidRPr="008A2E24">
        <w:rPr>
          <w:rFonts w:cs="Arial"/>
          <w:szCs w:val="24"/>
        </w:rPr>
        <w:t xml:space="preserve">445 12th Street, SW </w:t>
      </w:r>
    </w:p>
    <w:p w:rsidR="00CD39B7" w:rsidRPr="008A2E24" w:rsidRDefault="00CD39B7" w:rsidP="00CD39B7">
      <w:pPr>
        <w:contextualSpacing/>
        <w:rPr>
          <w:rFonts w:cs="Arial"/>
          <w:szCs w:val="24"/>
        </w:rPr>
      </w:pPr>
      <w:r w:rsidRPr="008A2E24">
        <w:rPr>
          <w:rFonts w:cs="Arial"/>
          <w:szCs w:val="24"/>
        </w:rPr>
        <w:t xml:space="preserve">Washington, DC 20554 </w:t>
      </w:r>
    </w:p>
    <w:p w:rsidR="00CD39B7" w:rsidRDefault="00CD39B7" w:rsidP="00CD39B7">
      <w:pPr>
        <w:suppressAutoHyphens/>
        <w:contextualSpacing/>
        <w:rPr>
          <w:rFonts w:cs="Arial"/>
          <w:szCs w:val="24"/>
        </w:rPr>
      </w:pPr>
      <w:bookmarkStart w:id="0" w:name="_GoBack"/>
      <w:bookmarkEnd w:id="0"/>
    </w:p>
    <w:p w:rsidR="00CD39B7" w:rsidRPr="00CD39B7" w:rsidRDefault="00CD39B7" w:rsidP="00CD39B7">
      <w:pPr>
        <w:ind w:left="1440"/>
        <w:rPr>
          <w:rFonts w:cs="Arial"/>
          <w:color w:val="000000"/>
          <w:spacing w:val="-2"/>
          <w:szCs w:val="24"/>
        </w:rPr>
      </w:pPr>
      <w:r w:rsidRPr="00CD39B7">
        <w:rPr>
          <w:rFonts w:cs="Arial"/>
          <w:szCs w:val="24"/>
        </w:rPr>
        <w:t>Re: Applications of T-Mobile US, Inc., a</w:t>
      </w:r>
      <w:r w:rsidRPr="00CD39B7">
        <w:rPr>
          <w:rFonts w:cs="Arial"/>
          <w:spacing w:val="-2"/>
          <w:szCs w:val="24"/>
        </w:rPr>
        <w:t xml:space="preserve">nd </w:t>
      </w:r>
      <w:r w:rsidRPr="00CD39B7">
        <w:rPr>
          <w:rFonts w:cs="Arial"/>
          <w:szCs w:val="24"/>
        </w:rPr>
        <w:t xml:space="preserve">Sprint Corporation for Consent </w:t>
      </w:r>
      <w:r w:rsidR="004A1BF4" w:rsidRPr="00CD39B7">
        <w:rPr>
          <w:rFonts w:cs="Arial"/>
          <w:szCs w:val="24"/>
        </w:rPr>
        <w:t>to</w:t>
      </w:r>
      <w:r w:rsidRPr="00CD39B7">
        <w:rPr>
          <w:rFonts w:cs="Arial"/>
          <w:szCs w:val="24"/>
        </w:rPr>
        <w:t xml:space="preserve"> Transfer Control of Licenses and Authorizations</w:t>
      </w:r>
      <w:r>
        <w:rPr>
          <w:rFonts w:cs="Arial"/>
          <w:szCs w:val="24"/>
        </w:rPr>
        <w:t xml:space="preserve">, </w:t>
      </w:r>
      <w:r w:rsidRPr="00CD39B7">
        <w:rPr>
          <w:rFonts w:eastAsia="Calibri" w:cs="Arial"/>
          <w:szCs w:val="24"/>
        </w:rPr>
        <w:t>WT Do</w:t>
      </w:r>
      <w:r w:rsidRPr="00CD39B7">
        <w:rPr>
          <w:rFonts w:cs="Arial"/>
          <w:color w:val="000000"/>
          <w:spacing w:val="-2"/>
          <w:szCs w:val="24"/>
        </w:rPr>
        <w:t>cket No. 18-197</w:t>
      </w:r>
    </w:p>
    <w:p w:rsidR="00CD39B7" w:rsidRPr="008A2E24" w:rsidRDefault="00CD39B7" w:rsidP="00CD39B7">
      <w:pPr>
        <w:suppressAutoHyphens/>
        <w:contextualSpacing/>
        <w:rPr>
          <w:rFonts w:cs="Arial"/>
          <w:i/>
          <w:color w:val="000000"/>
          <w:spacing w:val="-2"/>
          <w:szCs w:val="24"/>
        </w:rPr>
      </w:pPr>
    </w:p>
    <w:p w:rsidR="00CD39B7" w:rsidRPr="008A2E24" w:rsidRDefault="00CD39B7" w:rsidP="00CD39B7">
      <w:pPr>
        <w:suppressAutoHyphens/>
        <w:contextualSpacing/>
        <w:rPr>
          <w:rFonts w:cs="Arial"/>
          <w:color w:val="000000"/>
          <w:spacing w:val="-2"/>
          <w:szCs w:val="24"/>
        </w:rPr>
      </w:pPr>
      <w:r w:rsidRPr="008A2E24">
        <w:rPr>
          <w:rFonts w:cs="Arial"/>
          <w:color w:val="000000"/>
          <w:spacing w:val="-2"/>
          <w:szCs w:val="24"/>
        </w:rPr>
        <w:t>Dear Ms. Dortch:</w:t>
      </w:r>
    </w:p>
    <w:p w:rsidR="00CD39B7" w:rsidRPr="008A2E24" w:rsidRDefault="00CD39B7" w:rsidP="00CD39B7">
      <w:pPr>
        <w:suppressAutoHyphens/>
        <w:contextualSpacing/>
        <w:rPr>
          <w:rFonts w:cs="Arial"/>
          <w:color w:val="000000"/>
          <w:spacing w:val="-2"/>
          <w:szCs w:val="24"/>
        </w:rPr>
      </w:pPr>
    </w:p>
    <w:p w:rsidR="002F4BAC" w:rsidRDefault="000F3B31" w:rsidP="00CD39B7">
      <w:pPr>
        <w:ind w:firstLine="720"/>
        <w:rPr>
          <w:rFonts w:cs="Arial"/>
          <w:szCs w:val="24"/>
        </w:rPr>
      </w:pPr>
      <w:r>
        <w:rPr>
          <w:rFonts w:cs="Arial"/>
          <w:szCs w:val="24"/>
        </w:rPr>
        <w:t>Pursuant to the Commission’s Public Notice</w:t>
      </w:r>
      <w:r w:rsidR="00A72EF2">
        <w:rPr>
          <w:rFonts w:cs="Arial"/>
          <w:szCs w:val="24"/>
        </w:rPr>
        <w:t xml:space="preserve"> released</w:t>
      </w:r>
      <w:r>
        <w:rPr>
          <w:rFonts w:cs="Arial"/>
          <w:szCs w:val="24"/>
        </w:rPr>
        <w:t xml:space="preserve"> </w:t>
      </w:r>
      <w:r w:rsidR="00A72EF2">
        <w:rPr>
          <w:rFonts w:cs="Arial"/>
          <w:szCs w:val="24"/>
        </w:rPr>
        <w:t>in</w:t>
      </w:r>
      <w:r>
        <w:rPr>
          <w:rFonts w:cs="Arial"/>
          <w:szCs w:val="24"/>
        </w:rPr>
        <w:t xml:space="preserve"> the docket captioned above,</w:t>
      </w:r>
      <w:r>
        <w:rPr>
          <w:rStyle w:val="FootnoteReference"/>
          <w:rFonts w:cs="Arial"/>
          <w:szCs w:val="24"/>
        </w:rPr>
        <w:footnoteReference w:id="1"/>
      </w:r>
      <w:r>
        <w:rPr>
          <w:rFonts w:cs="Arial"/>
          <w:szCs w:val="24"/>
        </w:rPr>
        <w:t xml:space="preserve"> </w:t>
      </w:r>
      <w:r w:rsidR="00CC5EF0">
        <w:rPr>
          <w:rFonts w:cs="Arial"/>
          <w:szCs w:val="24"/>
        </w:rPr>
        <w:t>t</w:t>
      </w:r>
      <w:r w:rsidR="00CD39B7" w:rsidRPr="008A2E24">
        <w:rPr>
          <w:rFonts w:cs="Arial"/>
          <w:szCs w:val="24"/>
        </w:rPr>
        <w:t xml:space="preserve">he Ad Hoc Telecom Users Committee (“Ad Hoc” or “the Committee”) </w:t>
      </w:r>
      <w:r w:rsidR="00CC5EF0">
        <w:rPr>
          <w:rFonts w:cs="Arial"/>
          <w:szCs w:val="24"/>
        </w:rPr>
        <w:t>files this opposition to petitions</w:t>
      </w:r>
      <w:r w:rsidR="002F4BAC">
        <w:rPr>
          <w:rFonts w:cs="Arial"/>
          <w:szCs w:val="24"/>
        </w:rPr>
        <w:t xml:space="preserve"> opposing </w:t>
      </w:r>
      <w:r w:rsidR="00CD39B7" w:rsidRPr="008A2E24">
        <w:rPr>
          <w:rFonts w:cs="Arial"/>
          <w:szCs w:val="24"/>
        </w:rPr>
        <w:t>the proposed merg</w:t>
      </w:r>
      <w:r w:rsidR="00CD39B7">
        <w:rPr>
          <w:rFonts w:cs="Arial"/>
          <w:szCs w:val="24"/>
        </w:rPr>
        <w:t>er between Sprint and T-Mobile</w:t>
      </w:r>
      <w:r w:rsidR="00CD39B7" w:rsidRPr="008A2E24">
        <w:rPr>
          <w:rFonts w:cs="Arial"/>
          <w:szCs w:val="24"/>
        </w:rPr>
        <w:t xml:space="preserve">. </w:t>
      </w:r>
      <w:r w:rsidR="00CD39B7">
        <w:rPr>
          <w:rFonts w:cs="Arial"/>
          <w:szCs w:val="24"/>
        </w:rPr>
        <w:t xml:space="preserve"> </w:t>
      </w:r>
    </w:p>
    <w:p w:rsidR="002F4BAC" w:rsidRDefault="002F4BAC" w:rsidP="00CD39B7">
      <w:pPr>
        <w:ind w:firstLine="720"/>
        <w:rPr>
          <w:rFonts w:cs="Arial"/>
          <w:szCs w:val="24"/>
        </w:rPr>
      </w:pPr>
    </w:p>
    <w:p w:rsidR="00CD39B7" w:rsidRDefault="002F4BAC" w:rsidP="00CD39B7">
      <w:pPr>
        <w:ind w:firstLine="720"/>
        <w:rPr>
          <w:rFonts w:cs="Arial"/>
          <w:szCs w:val="24"/>
        </w:rPr>
      </w:pPr>
      <w:r>
        <w:rPr>
          <w:rFonts w:cs="Arial"/>
          <w:szCs w:val="24"/>
        </w:rPr>
        <w:t>Based on its</w:t>
      </w:r>
      <w:r w:rsidR="00CD39B7">
        <w:rPr>
          <w:rFonts w:cs="Arial"/>
          <w:szCs w:val="24"/>
        </w:rPr>
        <w:t xml:space="preserve"> review and analysis of the proposed merger</w:t>
      </w:r>
      <w:r>
        <w:rPr>
          <w:rFonts w:cs="Arial"/>
          <w:szCs w:val="24"/>
        </w:rPr>
        <w:t xml:space="preserve"> and current competitive conditions in the enterprise wireless market, Ad Hoc has concluded that</w:t>
      </w:r>
      <w:r w:rsidR="00CD39B7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the merger </w:t>
      </w:r>
      <w:r w:rsidR="00CD39B7">
        <w:rPr>
          <w:rFonts w:cs="Arial"/>
          <w:szCs w:val="24"/>
        </w:rPr>
        <w:t xml:space="preserve">would likely </w:t>
      </w:r>
      <w:r>
        <w:rPr>
          <w:rFonts w:cs="Arial"/>
          <w:szCs w:val="24"/>
        </w:rPr>
        <w:t>improve</w:t>
      </w:r>
      <w:r w:rsidR="00CD39B7">
        <w:rPr>
          <w:rFonts w:cs="Arial"/>
          <w:szCs w:val="24"/>
        </w:rPr>
        <w:t xml:space="preserve"> competitive conditions in </w:t>
      </w:r>
      <w:r>
        <w:rPr>
          <w:rFonts w:cs="Arial"/>
          <w:szCs w:val="24"/>
        </w:rPr>
        <w:t>the</w:t>
      </w:r>
      <w:r w:rsidR="00CD39B7">
        <w:rPr>
          <w:rFonts w:cs="Arial"/>
          <w:szCs w:val="24"/>
        </w:rPr>
        <w:t xml:space="preserve"> market </w:t>
      </w:r>
      <w:r w:rsidR="00A72EF2">
        <w:rPr>
          <w:rFonts w:cs="Arial"/>
          <w:szCs w:val="24"/>
        </w:rPr>
        <w:t>while</w:t>
      </w:r>
      <w:r w:rsidR="00CD39B7">
        <w:rPr>
          <w:rFonts w:cs="Arial"/>
          <w:szCs w:val="24"/>
        </w:rPr>
        <w:t xml:space="preserve"> the potential benefits from the merger</w:t>
      </w:r>
      <w:r w:rsidR="00A72EF2">
        <w:rPr>
          <w:rFonts w:cs="Arial"/>
          <w:szCs w:val="24"/>
        </w:rPr>
        <w:t xml:space="preserve"> would</w:t>
      </w:r>
      <w:r w:rsidR="00CD39B7">
        <w:rPr>
          <w:rFonts w:cs="Arial"/>
          <w:szCs w:val="24"/>
        </w:rPr>
        <w:t xml:space="preserve"> outweigh </w:t>
      </w:r>
      <w:r>
        <w:rPr>
          <w:rFonts w:cs="Arial"/>
          <w:szCs w:val="24"/>
        </w:rPr>
        <w:t>any</w:t>
      </w:r>
      <w:r w:rsidR="00CD39B7">
        <w:rPr>
          <w:rFonts w:cs="Arial"/>
          <w:szCs w:val="24"/>
        </w:rPr>
        <w:t xml:space="preserve"> potential </w:t>
      </w:r>
      <w:r>
        <w:rPr>
          <w:rFonts w:cs="Arial"/>
          <w:szCs w:val="24"/>
        </w:rPr>
        <w:t>costs.</w:t>
      </w:r>
    </w:p>
    <w:p w:rsidR="002F4BAC" w:rsidRPr="008A2E24" w:rsidRDefault="002F4BAC" w:rsidP="00CD39B7">
      <w:pPr>
        <w:ind w:firstLine="720"/>
        <w:rPr>
          <w:rFonts w:cs="Arial"/>
          <w:szCs w:val="24"/>
        </w:rPr>
      </w:pPr>
    </w:p>
    <w:p w:rsidR="002F4BAC" w:rsidRDefault="00CD39B7" w:rsidP="002F4BAC">
      <w:pPr>
        <w:ind w:firstLine="720"/>
        <w:rPr>
          <w:rFonts w:cs="Arial"/>
          <w:szCs w:val="24"/>
        </w:rPr>
      </w:pPr>
      <w:r w:rsidRPr="008A2E24">
        <w:rPr>
          <w:rFonts w:cs="Arial"/>
          <w:szCs w:val="24"/>
        </w:rPr>
        <w:t xml:space="preserve">The members of the Ad Hoc Telecommunications Users Committee are business end users </w:t>
      </w:r>
      <w:r w:rsidR="002F4BAC">
        <w:rPr>
          <w:rFonts w:cs="Arial"/>
          <w:szCs w:val="24"/>
        </w:rPr>
        <w:t>with substantial expenditures</w:t>
      </w:r>
      <w:r w:rsidRPr="008A2E24">
        <w:rPr>
          <w:rFonts w:cs="Arial"/>
          <w:szCs w:val="24"/>
        </w:rPr>
        <w:t xml:space="preserve"> on communications products, including both wireless and wireline services.  Committee members represent a broad cross-section of industries in the national economy, including </w:t>
      </w:r>
      <w:r w:rsidR="002F4BAC" w:rsidRPr="002F4BAC">
        <w:rPr>
          <w:rFonts w:cs="Arial"/>
          <w:szCs w:val="24"/>
        </w:rPr>
        <w:t xml:space="preserve">banking, construction, energy, financial services, insurance, information services, logistics, manufacturing, and payment processing – and they maintain tens of thousands of business premises in every region of the country.  As substantial, geographically-diverse end users of network and IT services nationwide, Ad Hoc members are uniquely qualified to provide a credible, unbiased, and informed perspective regarding the impact of Commission proceedings on customers in the communications marketplace.  </w:t>
      </w:r>
    </w:p>
    <w:p w:rsidR="002F4BAC" w:rsidRPr="002F4BAC" w:rsidRDefault="002F4BAC" w:rsidP="002F4BAC">
      <w:pPr>
        <w:ind w:firstLine="720"/>
        <w:rPr>
          <w:rFonts w:cs="Arial"/>
          <w:szCs w:val="24"/>
        </w:rPr>
      </w:pPr>
    </w:p>
    <w:p w:rsidR="00CD39B7" w:rsidRDefault="002F4BAC" w:rsidP="002F4BAC">
      <w:pPr>
        <w:ind w:firstLine="720"/>
        <w:rPr>
          <w:rFonts w:cs="Arial"/>
          <w:szCs w:val="24"/>
        </w:rPr>
      </w:pPr>
      <w:r w:rsidRPr="002F4BAC">
        <w:rPr>
          <w:rFonts w:cs="Arial"/>
          <w:szCs w:val="24"/>
        </w:rPr>
        <w:t xml:space="preserve">Because Ad Hoc admits no wireline or wireless service providers as members and accepts no funding from them, Ad Hoc’s positions are not influenced by any commercial self-interest that would support unnecessary regulatory constraints on competing service providers.  </w:t>
      </w:r>
      <w:r w:rsidR="00CD39B7" w:rsidRPr="008A2E24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 </w:t>
      </w:r>
    </w:p>
    <w:p w:rsidR="002F4BAC" w:rsidRPr="008A2E24" w:rsidRDefault="002F4BAC" w:rsidP="00CD39B7">
      <w:pPr>
        <w:ind w:firstLine="720"/>
        <w:rPr>
          <w:rFonts w:cs="Arial"/>
          <w:szCs w:val="24"/>
        </w:rPr>
      </w:pPr>
    </w:p>
    <w:p w:rsidR="0034022C" w:rsidRDefault="00CD39B7" w:rsidP="00CD39B7">
      <w:pPr>
        <w:ind w:firstLine="720"/>
        <w:rPr>
          <w:rFonts w:cs="Arial"/>
          <w:szCs w:val="24"/>
        </w:rPr>
      </w:pPr>
      <w:r w:rsidRPr="008A2E24">
        <w:rPr>
          <w:rFonts w:cs="Arial"/>
          <w:szCs w:val="24"/>
        </w:rPr>
        <w:t xml:space="preserve">Since its formation </w:t>
      </w:r>
      <w:r w:rsidR="002F4BAC">
        <w:rPr>
          <w:rFonts w:cs="Arial"/>
          <w:szCs w:val="24"/>
        </w:rPr>
        <w:t xml:space="preserve">nearly </w:t>
      </w:r>
      <w:r w:rsidRPr="008A2E24">
        <w:rPr>
          <w:rFonts w:cs="Arial"/>
          <w:szCs w:val="24"/>
        </w:rPr>
        <w:t xml:space="preserve">forty years ago, Ad Hoc has </w:t>
      </w:r>
      <w:r w:rsidR="002F4BAC">
        <w:rPr>
          <w:rFonts w:cs="Arial"/>
          <w:szCs w:val="24"/>
        </w:rPr>
        <w:t xml:space="preserve">consistently </w:t>
      </w:r>
      <w:r w:rsidRPr="008A2E24">
        <w:rPr>
          <w:rFonts w:cs="Arial"/>
          <w:szCs w:val="24"/>
        </w:rPr>
        <w:t xml:space="preserve">advocated </w:t>
      </w:r>
      <w:r w:rsidR="002F4BAC">
        <w:rPr>
          <w:rFonts w:cs="Arial"/>
          <w:szCs w:val="24"/>
        </w:rPr>
        <w:t xml:space="preserve">for regulatory outcomes that would eliminate impediments to the development of robust </w:t>
      </w:r>
      <w:r w:rsidR="004A1BF4">
        <w:rPr>
          <w:rFonts w:cs="Arial"/>
          <w:szCs w:val="24"/>
        </w:rPr>
        <w:t>competition</w:t>
      </w:r>
      <w:r w:rsidR="002F4BAC">
        <w:rPr>
          <w:rFonts w:cs="Arial"/>
          <w:szCs w:val="24"/>
        </w:rPr>
        <w:t xml:space="preserve"> in </w:t>
      </w:r>
      <w:r w:rsidRPr="008A2E24">
        <w:rPr>
          <w:rFonts w:cs="Arial"/>
          <w:szCs w:val="24"/>
        </w:rPr>
        <w:t xml:space="preserve">communications markets, because the Committee’s members -- as high-volume consumers of communications products – have historically been among the first </w:t>
      </w:r>
      <w:r w:rsidRPr="008A2E24">
        <w:rPr>
          <w:rFonts w:cs="Arial"/>
          <w:szCs w:val="24"/>
        </w:rPr>
        <w:lastRenderedPageBreak/>
        <w:t xml:space="preserve">beneficiaries of the FCC’s de-regulatory efforts where markets are sufficiently competitive.  Ad Hoc has </w:t>
      </w:r>
      <w:r w:rsidR="002F4BAC">
        <w:rPr>
          <w:rFonts w:cs="Arial"/>
          <w:szCs w:val="24"/>
        </w:rPr>
        <w:t xml:space="preserve">evaluated </w:t>
      </w:r>
      <w:r>
        <w:rPr>
          <w:rFonts w:cs="Arial"/>
          <w:szCs w:val="24"/>
        </w:rPr>
        <w:t xml:space="preserve">merger activity </w:t>
      </w:r>
      <w:r w:rsidR="00A72EF2">
        <w:rPr>
          <w:rFonts w:cs="Arial"/>
          <w:szCs w:val="24"/>
        </w:rPr>
        <w:t xml:space="preserve">in communications markets </w:t>
      </w:r>
      <w:r w:rsidR="002F4BAC">
        <w:rPr>
          <w:rFonts w:cs="Arial"/>
          <w:szCs w:val="24"/>
        </w:rPr>
        <w:t xml:space="preserve">on the same basis.  As a result, Ad Hoc </w:t>
      </w:r>
      <w:r>
        <w:rPr>
          <w:rFonts w:cs="Arial"/>
          <w:szCs w:val="24"/>
        </w:rPr>
        <w:t xml:space="preserve">has </w:t>
      </w:r>
      <w:r w:rsidR="00A72EF2">
        <w:rPr>
          <w:rFonts w:cs="Arial"/>
          <w:szCs w:val="24"/>
        </w:rPr>
        <w:t xml:space="preserve">sometimes </w:t>
      </w:r>
      <w:r w:rsidR="002F4BAC">
        <w:rPr>
          <w:rFonts w:cs="Arial"/>
          <w:szCs w:val="24"/>
        </w:rPr>
        <w:t>supported the Commission’s imposition of</w:t>
      </w:r>
      <w:r>
        <w:rPr>
          <w:rFonts w:cs="Arial"/>
          <w:szCs w:val="24"/>
        </w:rPr>
        <w:t xml:space="preserve"> </w:t>
      </w:r>
      <w:r w:rsidR="0034022C">
        <w:rPr>
          <w:rFonts w:cs="Arial"/>
          <w:szCs w:val="24"/>
        </w:rPr>
        <w:t xml:space="preserve">regulatory </w:t>
      </w:r>
      <w:r>
        <w:rPr>
          <w:rFonts w:cs="Arial"/>
          <w:szCs w:val="24"/>
        </w:rPr>
        <w:t xml:space="preserve">conditions </w:t>
      </w:r>
      <w:r w:rsidR="0034022C">
        <w:rPr>
          <w:rFonts w:cs="Arial"/>
          <w:szCs w:val="24"/>
        </w:rPr>
        <w:t>on merging communications providers to protect</w:t>
      </w:r>
      <w:r>
        <w:rPr>
          <w:rFonts w:cs="Arial"/>
          <w:szCs w:val="24"/>
        </w:rPr>
        <w:t xml:space="preserve"> market</w:t>
      </w:r>
      <w:r w:rsidR="0034022C">
        <w:rPr>
          <w:rFonts w:cs="Arial"/>
          <w:szCs w:val="24"/>
        </w:rPr>
        <w:t xml:space="preserve">s </w:t>
      </w:r>
      <w:r>
        <w:rPr>
          <w:rFonts w:cs="Arial"/>
          <w:szCs w:val="24"/>
        </w:rPr>
        <w:t xml:space="preserve">when </w:t>
      </w:r>
      <w:r w:rsidR="0034022C">
        <w:rPr>
          <w:rFonts w:cs="Arial"/>
          <w:szCs w:val="24"/>
        </w:rPr>
        <w:t xml:space="preserve">a merger’s actual or potential impact would be </w:t>
      </w:r>
      <w:r>
        <w:rPr>
          <w:rFonts w:cs="Arial"/>
          <w:szCs w:val="24"/>
        </w:rPr>
        <w:t>anti-competitive.</w:t>
      </w:r>
      <w:r w:rsidR="0034022C">
        <w:rPr>
          <w:rFonts w:cs="Arial"/>
          <w:szCs w:val="24"/>
        </w:rPr>
        <w:t xml:space="preserve"> </w:t>
      </w:r>
    </w:p>
    <w:p w:rsidR="0034022C" w:rsidRDefault="0034022C" w:rsidP="00CD39B7">
      <w:pPr>
        <w:ind w:firstLine="720"/>
        <w:rPr>
          <w:rFonts w:cs="Arial"/>
          <w:szCs w:val="24"/>
        </w:rPr>
      </w:pPr>
    </w:p>
    <w:p w:rsidR="00CD39B7" w:rsidRDefault="0034022C" w:rsidP="00CD39B7">
      <w:pPr>
        <w:ind w:firstLine="720"/>
        <w:rPr>
          <w:rFonts w:cs="Arial"/>
          <w:szCs w:val="24"/>
        </w:rPr>
      </w:pPr>
      <w:r>
        <w:rPr>
          <w:rFonts w:cs="Arial"/>
          <w:szCs w:val="24"/>
        </w:rPr>
        <w:t xml:space="preserve">In this case, the Committee </w:t>
      </w:r>
      <w:r w:rsidR="00CD39B7">
        <w:rPr>
          <w:rFonts w:cs="Arial"/>
          <w:szCs w:val="24"/>
        </w:rPr>
        <w:t>see</w:t>
      </w:r>
      <w:r>
        <w:rPr>
          <w:rFonts w:cs="Arial"/>
          <w:szCs w:val="24"/>
        </w:rPr>
        <w:t>s</w:t>
      </w:r>
      <w:r w:rsidR="00CD39B7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no</w:t>
      </w:r>
      <w:r w:rsidR="00CD39B7">
        <w:rPr>
          <w:rFonts w:cs="Arial"/>
          <w:szCs w:val="24"/>
        </w:rPr>
        <w:t xml:space="preserve"> need for such conditions.</w:t>
      </w:r>
    </w:p>
    <w:p w:rsidR="002F4BAC" w:rsidRDefault="002F4BAC" w:rsidP="00CD39B7">
      <w:pPr>
        <w:ind w:firstLine="720"/>
        <w:rPr>
          <w:rFonts w:cs="Arial"/>
          <w:szCs w:val="24"/>
        </w:rPr>
      </w:pPr>
    </w:p>
    <w:p w:rsidR="00CD39B7" w:rsidRDefault="0034022C" w:rsidP="00CD39B7">
      <w:pPr>
        <w:ind w:firstLine="720"/>
        <w:rPr>
          <w:rFonts w:cs="Arial"/>
          <w:szCs w:val="24"/>
        </w:rPr>
      </w:pPr>
      <w:r>
        <w:rPr>
          <w:rFonts w:cs="Arial"/>
          <w:szCs w:val="24"/>
        </w:rPr>
        <w:t>The enterprise</w:t>
      </w:r>
      <w:r w:rsidR="00CD39B7">
        <w:rPr>
          <w:rFonts w:cs="Arial"/>
          <w:szCs w:val="24"/>
        </w:rPr>
        <w:t xml:space="preserve"> wireless market today is highly concentrated, with just four carriers (AT&amp;T, Verizon, T-Mobile</w:t>
      </w:r>
      <w:r w:rsidR="00A72EF2">
        <w:rPr>
          <w:rFonts w:cs="Arial"/>
          <w:szCs w:val="24"/>
        </w:rPr>
        <w:t>,</w:t>
      </w:r>
      <w:r w:rsidR="00CD39B7">
        <w:rPr>
          <w:rFonts w:cs="Arial"/>
          <w:szCs w:val="24"/>
        </w:rPr>
        <w:t xml:space="preserve"> and Sprint) providing approximately 99% of facilities-based service</w:t>
      </w:r>
      <w:r>
        <w:rPr>
          <w:rFonts w:cs="Arial"/>
          <w:szCs w:val="24"/>
        </w:rPr>
        <w:t>s</w:t>
      </w:r>
      <w:r w:rsidR="00CD39B7">
        <w:rPr>
          <w:rFonts w:cs="Arial"/>
          <w:szCs w:val="24"/>
        </w:rPr>
        <w:t xml:space="preserve"> in the </w:t>
      </w:r>
      <w:r>
        <w:rPr>
          <w:rFonts w:cs="Arial"/>
          <w:szCs w:val="24"/>
        </w:rPr>
        <w:t>United States</w:t>
      </w:r>
      <w:r w:rsidR="00CD39B7">
        <w:rPr>
          <w:rFonts w:cs="Arial"/>
          <w:szCs w:val="24"/>
        </w:rPr>
        <w:t>.</w:t>
      </w:r>
      <w:r w:rsidR="00CD39B7">
        <w:rPr>
          <w:rStyle w:val="FootnoteReference"/>
          <w:rFonts w:cs="Arial"/>
          <w:szCs w:val="24"/>
        </w:rPr>
        <w:footnoteReference w:id="2"/>
      </w:r>
      <w:r w:rsidR="00CD39B7">
        <w:rPr>
          <w:rFonts w:cs="Arial"/>
          <w:szCs w:val="24"/>
        </w:rPr>
        <w:t xml:space="preserve">  This is not surprising given the natural monopoly tendencies of the facilities-based wireless market</w:t>
      </w:r>
      <w:r>
        <w:rPr>
          <w:rFonts w:cs="Arial"/>
          <w:szCs w:val="24"/>
        </w:rPr>
        <w:t xml:space="preserve"> (which Ad Hoc </w:t>
      </w:r>
      <w:r w:rsidR="00066BF7">
        <w:rPr>
          <w:rFonts w:cs="Arial"/>
          <w:szCs w:val="24"/>
        </w:rPr>
        <w:t xml:space="preserve">has previously </w:t>
      </w:r>
      <w:r>
        <w:rPr>
          <w:rFonts w:cs="Arial"/>
          <w:szCs w:val="24"/>
        </w:rPr>
        <w:t xml:space="preserve">described at length </w:t>
      </w:r>
      <w:r w:rsidR="00066BF7">
        <w:rPr>
          <w:rFonts w:cs="Arial"/>
          <w:szCs w:val="24"/>
        </w:rPr>
        <w:t xml:space="preserve">in a similar </w:t>
      </w:r>
      <w:r w:rsidR="00A72EF2">
        <w:rPr>
          <w:rFonts w:cs="Arial"/>
          <w:szCs w:val="24"/>
        </w:rPr>
        <w:t xml:space="preserve">merger </w:t>
      </w:r>
      <w:r w:rsidR="00066BF7">
        <w:rPr>
          <w:rFonts w:cs="Arial"/>
          <w:szCs w:val="24"/>
        </w:rPr>
        <w:t>proceeding</w:t>
      </w:r>
      <w:r w:rsidR="00A72EF2">
        <w:rPr>
          <w:rFonts w:cs="Arial"/>
          <w:szCs w:val="24"/>
        </w:rPr>
        <w:t xml:space="preserve"> before this Commission</w:t>
      </w:r>
      <w:r w:rsidR="00CD39B7">
        <w:rPr>
          <w:rStyle w:val="FootnoteReference"/>
          <w:rFonts w:cs="Arial"/>
          <w:szCs w:val="24"/>
        </w:rPr>
        <w:footnoteReference w:id="3"/>
      </w:r>
      <w:r w:rsidR="00066BF7">
        <w:rPr>
          <w:rFonts w:cs="Arial"/>
          <w:szCs w:val="24"/>
        </w:rPr>
        <w:t>).</w:t>
      </w:r>
      <w:r w:rsidR="00CD39B7">
        <w:rPr>
          <w:rFonts w:cs="Arial"/>
          <w:szCs w:val="24"/>
        </w:rPr>
        <w:t xml:space="preserve">  But two of those four providers (AT&amp;T and Verizon) are each twice as large as either of the other two (Sprint and T-Mobile) and </w:t>
      </w:r>
      <w:r w:rsidR="00066BF7">
        <w:rPr>
          <w:rFonts w:cs="Arial"/>
          <w:szCs w:val="24"/>
        </w:rPr>
        <w:t>consequently</w:t>
      </w:r>
      <w:r>
        <w:rPr>
          <w:rFonts w:cs="Arial"/>
          <w:szCs w:val="24"/>
        </w:rPr>
        <w:t xml:space="preserve"> </w:t>
      </w:r>
      <w:r w:rsidR="00CD39B7">
        <w:rPr>
          <w:rFonts w:cs="Arial"/>
          <w:szCs w:val="24"/>
        </w:rPr>
        <w:t>are able to achieve economies of scope and scale that are not available</w:t>
      </w:r>
      <w:r w:rsidR="00A72EF2">
        <w:rPr>
          <w:rFonts w:cs="Arial"/>
          <w:szCs w:val="24"/>
        </w:rPr>
        <w:t>,</w:t>
      </w:r>
      <w:r w:rsidR="00CD39B7">
        <w:rPr>
          <w:rFonts w:cs="Arial"/>
          <w:szCs w:val="24"/>
        </w:rPr>
        <w:t xml:space="preserve"> </w:t>
      </w:r>
      <w:r w:rsidR="00066BF7">
        <w:rPr>
          <w:rFonts w:cs="Arial"/>
          <w:szCs w:val="24"/>
        </w:rPr>
        <w:t>and</w:t>
      </w:r>
      <w:r w:rsidR="00A72EF2">
        <w:rPr>
          <w:rFonts w:cs="Arial"/>
          <w:szCs w:val="24"/>
        </w:rPr>
        <w:t xml:space="preserve"> most likely</w:t>
      </w:r>
      <w:r w:rsidR="00066BF7">
        <w:rPr>
          <w:rFonts w:cs="Arial"/>
          <w:szCs w:val="24"/>
        </w:rPr>
        <w:t xml:space="preserve"> would not be</w:t>
      </w:r>
      <w:r w:rsidR="00A72EF2">
        <w:rPr>
          <w:rFonts w:cs="Arial"/>
          <w:szCs w:val="24"/>
        </w:rPr>
        <w:t>come</w:t>
      </w:r>
      <w:r w:rsidR="00066BF7">
        <w:rPr>
          <w:rFonts w:cs="Arial"/>
          <w:szCs w:val="24"/>
        </w:rPr>
        <w:t xml:space="preserve"> available</w:t>
      </w:r>
      <w:r w:rsidR="00A72EF2">
        <w:rPr>
          <w:rFonts w:cs="Arial"/>
          <w:szCs w:val="24"/>
        </w:rPr>
        <w:t>,</w:t>
      </w:r>
      <w:r w:rsidR="00066BF7">
        <w:rPr>
          <w:rFonts w:cs="Arial"/>
          <w:szCs w:val="24"/>
        </w:rPr>
        <w:t xml:space="preserve"> </w:t>
      </w:r>
      <w:r w:rsidR="00CD39B7">
        <w:rPr>
          <w:rFonts w:cs="Arial"/>
          <w:szCs w:val="24"/>
        </w:rPr>
        <w:t xml:space="preserve">to Sprint or T-Mobile alone.  The merger of Sprint and T-Mobile will put the resulting </w:t>
      </w:r>
      <w:r w:rsidR="00066BF7">
        <w:rPr>
          <w:rFonts w:cs="Arial"/>
          <w:szCs w:val="24"/>
        </w:rPr>
        <w:t>entity</w:t>
      </w:r>
      <w:r w:rsidR="00CD39B7">
        <w:rPr>
          <w:rFonts w:cs="Arial"/>
          <w:szCs w:val="24"/>
        </w:rPr>
        <w:t xml:space="preserve"> at a similar point on the production curve as AT&amp;T and Verizon.</w:t>
      </w:r>
      <w:r w:rsidR="00066BF7">
        <w:rPr>
          <w:rFonts w:cs="Arial"/>
          <w:szCs w:val="24"/>
        </w:rPr>
        <w:t xml:space="preserve"> </w:t>
      </w:r>
      <w:r w:rsidR="00CD39B7">
        <w:rPr>
          <w:rFonts w:cs="Arial"/>
          <w:szCs w:val="24"/>
        </w:rPr>
        <w:t xml:space="preserve"> In other words, the “synergies” that are likely to </w:t>
      </w:r>
      <w:r w:rsidR="00066BF7">
        <w:rPr>
          <w:rFonts w:cs="Arial"/>
          <w:szCs w:val="24"/>
        </w:rPr>
        <w:t>result</w:t>
      </w:r>
      <w:r w:rsidR="00CD39B7">
        <w:rPr>
          <w:rFonts w:cs="Arial"/>
          <w:szCs w:val="24"/>
        </w:rPr>
        <w:t xml:space="preserve"> from this merger </w:t>
      </w:r>
      <w:r w:rsidR="00066BF7">
        <w:rPr>
          <w:rFonts w:cs="Arial"/>
          <w:szCs w:val="24"/>
        </w:rPr>
        <w:t>are not the routine cost savings and asset consolidations</w:t>
      </w:r>
      <w:r w:rsidR="00CD39B7">
        <w:rPr>
          <w:rFonts w:cs="Arial"/>
          <w:szCs w:val="24"/>
        </w:rPr>
        <w:t xml:space="preserve"> that are </w:t>
      </w:r>
      <w:r w:rsidR="00066BF7">
        <w:rPr>
          <w:rFonts w:cs="Arial"/>
          <w:szCs w:val="24"/>
        </w:rPr>
        <w:t>claimed in</w:t>
      </w:r>
      <w:r w:rsidR="00CD39B7">
        <w:rPr>
          <w:rFonts w:cs="Arial"/>
          <w:szCs w:val="24"/>
        </w:rPr>
        <w:t xml:space="preserve"> many mergers but </w:t>
      </w:r>
      <w:r w:rsidR="00066BF7">
        <w:rPr>
          <w:rFonts w:cs="Arial"/>
          <w:szCs w:val="24"/>
        </w:rPr>
        <w:t xml:space="preserve">rather </w:t>
      </w:r>
      <w:r w:rsidR="00A72EF2">
        <w:rPr>
          <w:rFonts w:cs="Arial"/>
          <w:szCs w:val="24"/>
        </w:rPr>
        <w:t xml:space="preserve">consiste of </w:t>
      </w:r>
      <w:r w:rsidR="00066BF7">
        <w:rPr>
          <w:rFonts w:cs="Arial"/>
          <w:szCs w:val="24"/>
        </w:rPr>
        <w:t>significant</w:t>
      </w:r>
      <w:r w:rsidR="00CD39B7">
        <w:rPr>
          <w:rFonts w:cs="Arial"/>
          <w:szCs w:val="24"/>
        </w:rPr>
        <w:t xml:space="preserve"> movement along a cost curve where both average and marginal costs decrease as demand (</w:t>
      </w:r>
      <w:r w:rsidR="00066BF7">
        <w:rPr>
          <w:rFonts w:cs="Arial"/>
          <w:szCs w:val="24"/>
        </w:rPr>
        <w:t xml:space="preserve">and </w:t>
      </w:r>
      <w:r w:rsidR="00CD39B7">
        <w:rPr>
          <w:rFonts w:cs="Arial"/>
          <w:szCs w:val="24"/>
        </w:rPr>
        <w:t xml:space="preserve">production) increases.  </w:t>
      </w:r>
    </w:p>
    <w:p w:rsidR="0034022C" w:rsidRDefault="0034022C" w:rsidP="00CD39B7">
      <w:pPr>
        <w:ind w:firstLine="720"/>
        <w:rPr>
          <w:rFonts w:cs="Arial"/>
          <w:szCs w:val="24"/>
        </w:rPr>
      </w:pPr>
    </w:p>
    <w:p w:rsidR="00CD39B7" w:rsidRDefault="00A72EF2" w:rsidP="00CD39B7">
      <w:pPr>
        <w:ind w:firstLine="720"/>
        <w:rPr>
          <w:rFonts w:cs="Arial"/>
          <w:szCs w:val="24"/>
        </w:rPr>
      </w:pPr>
      <w:r>
        <w:rPr>
          <w:rFonts w:cs="Arial"/>
          <w:szCs w:val="24"/>
        </w:rPr>
        <w:t>In short, c</w:t>
      </w:r>
      <w:r w:rsidR="00066BF7">
        <w:rPr>
          <w:rFonts w:cs="Arial"/>
          <w:szCs w:val="24"/>
        </w:rPr>
        <w:t>ompetitive conditions in the facilities-based enterprise wireless market would be improved by the creation of a</w:t>
      </w:r>
      <w:r w:rsidR="00CD39B7">
        <w:rPr>
          <w:rFonts w:cs="Arial"/>
          <w:szCs w:val="24"/>
        </w:rPr>
        <w:t xml:space="preserve"> strong “thir</w:t>
      </w:r>
      <w:r w:rsidR="00066BF7">
        <w:rPr>
          <w:rFonts w:cs="Arial"/>
          <w:szCs w:val="24"/>
        </w:rPr>
        <w:t xml:space="preserve">d” leg to the competitive stool, instead </w:t>
      </w:r>
      <w:r w:rsidR="00CD39B7">
        <w:rPr>
          <w:rFonts w:cs="Arial"/>
          <w:szCs w:val="24"/>
        </w:rPr>
        <w:t xml:space="preserve">of the two weaker legs </w:t>
      </w:r>
      <w:r w:rsidR="00066BF7">
        <w:rPr>
          <w:rFonts w:cs="Arial"/>
          <w:szCs w:val="24"/>
        </w:rPr>
        <w:t>provided</w:t>
      </w:r>
      <w:r w:rsidR="00CD39B7">
        <w:rPr>
          <w:rFonts w:cs="Arial"/>
          <w:szCs w:val="24"/>
        </w:rPr>
        <w:t xml:space="preserve"> by Sprint and T-Mobile</w:t>
      </w:r>
      <w:r>
        <w:rPr>
          <w:rFonts w:cs="Arial"/>
          <w:szCs w:val="24"/>
        </w:rPr>
        <w:t xml:space="preserve"> at their current scale</w:t>
      </w:r>
      <w:r w:rsidR="00CD39B7">
        <w:rPr>
          <w:rFonts w:cs="Arial"/>
          <w:szCs w:val="24"/>
        </w:rPr>
        <w:t xml:space="preserve">.  Expressed in terms of either connections or revenues, a </w:t>
      </w:r>
      <w:r w:rsidR="00066BF7">
        <w:rPr>
          <w:rFonts w:cs="Arial"/>
          <w:szCs w:val="24"/>
        </w:rPr>
        <w:t>combined Sprint/</w:t>
      </w:r>
      <w:r w:rsidR="00CD39B7">
        <w:rPr>
          <w:rFonts w:cs="Arial"/>
          <w:szCs w:val="24"/>
        </w:rPr>
        <w:t xml:space="preserve">T-Mobile </w:t>
      </w:r>
      <w:r w:rsidR="00066BF7">
        <w:rPr>
          <w:rFonts w:cs="Arial"/>
          <w:szCs w:val="24"/>
        </w:rPr>
        <w:t xml:space="preserve">entity </w:t>
      </w:r>
      <w:r w:rsidR="00CD39B7">
        <w:rPr>
          <w:rFonts w:cs="Arial"/>
          <w:szCs w:val="24"/>
        </w:rPr>
        <w:t xml:space="preserve">would be approximately the same size as each of the </w:t>
      </w:r>
      <w:r w:rsidR="00066BF7">
        <w:rPr>
          <w:rFonts w:cs="Arial"/>
          <w:szCs w:val="24"/>
        </w:rPr>
        <w:t>two existing</w:t>
      </w:r>
      <w:r w:rsidR="00CD39B7">
        <w:rPr>
          <w:rFonts w:cs="Arial"/>
          <w:szCs w:val="24"/>
        </w:rPr>
        <w:t xml:space="preserve"> competitors.</w:t>
      </w:r>
      <w:r w:rsidR="00CD39B7">
        <w:rPr>
          <w:rStyle w:val="FootnoteReference"/>
          <w:rFonts w:cs="Arial"/>
          <w:szCs w:val="24"/>
        </w:rPr>
        <w:footnoteReference w:id="4"/>
      </w:r>
      <w:r w:rsidR="00CD39B7">
        <w:rPr>
          <w:rFonts w:cs="Arial"/>
          <w:szCs w:val="24"/>
        </w:rPr>
        <w:t xml:space="preserve">  Improved economies of scale and scope from their increased size would likely close the EBI</w:t>
      </w:r>
      <w:r w:rsidR="00A033D5">
        <w:rPr>
          <w:rFonts w:cs="Arial"/>
          <w:szCs w:val="24"/>
        </w:rPr>
        <w:t>TD</w:t>
      </w:r>
      <w:r w:rsidR="00CD39B7">
        <w:rPr>
          <w:rFonts w:cs="Arial"/>
          <w:szCs w:val="24"/>
        </w:rPr>
        <w:t xml:space="preserve">A per subscriber gap of $5 to $10 per month between the largest </w:t>
      </w:r>
      <w:r w:rsidR="00A033D5">
        <w:rPr>
          <w:rFonts w:cs="Arial"/>
          <w:szCs w:val="24"/>
        </w:rPr>
        <w:t>two</w:t>
      </w:r>
      <w:r w:rsidR="00CD39B7">
        <w:rPr>
          <w:rFonts w:cs="Arial"/>
          <w:szCs w:val="24"/>
        </w:rPr>
        <w:t xml:space="preserve"> carriers</w:t>
      </w:r>
      <w:r w:rsidR="00A033D5">
        <w:rPr>
          <w:rFonts w:cs="Arial"/>
          <w:szCs w:val="24"/>
        </w:rPr>
        <w:t xml:space="preserve"> on the one hand</w:t>
      </w:r>
      <w:r w:rsidR="00CD39B7">
        <w:rPr>
          <w:rFonts w:cs="Arial"/>
          <w:szCs w:val="24"/>
        </w:rPr>
        <w:t xml:space="preserve"> and Sprint and T-Mobile </w:t>
      </w:r>
      <w:r w:rsidR="00A033D5">
        <w:rPr>
          <w:rFonts w:cs="Arial"/>
          <w:szCs w:val="24"/>
        </w:rPr>
        <w:t xml:space="preserve">on the other </w:t>
      </w:r>
      <w:r w:rsidR="00CD39B7">
        <w:rPr>
          <w:rFonts w:cs="Arial"/>
          <w:szCs w:val="24"/>
        </w:rPr>
        <w:t>(</w:t>
      </w:r>
      <w:r w:rsidR="00A033D5">
        <w:rPr>
          <w:rFonts w:cs="Arial"/>
          <w:szCs w:val="24"/>
        </w:rPr>
        <w:t xml:space="preserve">with </w:t>
      </w:r>
      <w:r w:rsidR="00CD39B7">
        <w:rPr>
          <w:rFonts w:cs="Arial"/>
          <w:szCs w:val="24"/>
        </w:rPr>
        <w:t>AT&amp;T and Verizon at $22.71 and $18.30</w:t>
      </w:r>
      <w:r w:rsidR="00A033D5">
        <w:rPr>
          <w:rFonts w:cs="Arial"/>
          <w:szCs w:val="24"/>
        </w:rPr>
        <w:t>,</w:t>
      </w:r>
      <w:r w:rsidR="00CD39B7">
        <w:rPr>
          <w:rFonts w:cs="Arial"/>
          <w:szCs w:val="24"/>
        </w:rPr>
        <w:t xml:space="preserve"> respectively</w:t>
      </w:r>
      <w:r w:rsidR="00A033D5">
        <w:rPr>
          <w:rFonts w:cs="Arial"/>
          <w:szCs w:val="24"/>
        </w:rPr>
        <w:t>,</w:t>
      </w:r>
      <w:r w:rsidR="00CD39B7">
        <w:rPr>
          <w:rFonts w:cs="Arial"/>
          <w:szCs w:val="24"/>
        </w:rPr>
        <w:t xml:space="preserve"> and Sprint and T-Mobile at $13.00 and $11.80).</w:t>
      </w:r>
      <w:r w:rsidR="00CD39B7">
        <w:rPr>
          <w:rStyle w:val="FootnoteReference"/>
          <w:rFonts w:cs="Arial"/>
          <w:szCs w:val="24"/>
        </w:rPr>
        <w:footnoteReference w:id="5"/>
      </w:r>
    </w:p>
    <w:p w:rsidR="00066BF7" w:rsidRDefault="00066BF7" w:rsidP="00CD39B7">
      <w:pPr>
        <w:ind w:firstLine="720"/>
        <w:rPr>
          <w:rFonts w:cs="Arial"/>
          <w:szCs w:val="24"/>
        </w:rPr>
      </w:pPr>
    </w:p>
    <w:p w:rsidR="00CD39B7" w:rsidRDefault="00A033D5" w:rsidP="00CD39B7">
      <w:pPr>
        <w:ind w:firstLine="720"/>
        <w:rPr>
          <w:rFonts w:cs="Arial"/>
          <w:szCs w:val="24"/>
        </w:rPr>
      </w:pPr>
      <w:r>
        <w:rPr>
          <w:rFonts w:cs="Arial"/>
          <w:szCs w:val="24"/>
        </w:rPr>
        <w:t>Moreover, a</w:t>
      </w:r>
      <w:r w:rsidR="00CD39B7">
        <w:rPr>
          <w:rFonts w:cs="Arial"/>
          <w:szCs w:val="24"/>
        </w:rPr>
        <w:t xml:space="preserve">bsent </w:t>
      </w:r>
      <w:r w:rsidR="004A1BF4">
        <w:rPr>
          <w:rFonts w:cs="Arial"/>
          <w:szCs w:val="24"/>
        </w:rPr>
        <w:t xml:space="preserve">the </w:t>
      </w:r>
      <w:r w:rsidR="00CD39B7">
        <w:rPr>
          <w:rFonts w:cs="Arial"/>
          <w:szCs w:val="24"/>
        </w:rPr>
        <w:t>increased scale</w:t>
      </w:r>
      <w:r w:rsidR="004A1BF4">
        <w:rPr>
          <w:rFonts w:cs="Arial"/>
          <w:szCs w:val="24"/>
        </w:rPr>
        <w:t xml:space="preserve"> resulting from this merger</w:t>
      </w:r>
      <w:r w:rsidR="00CD39B7">
        <w:rPr>
          <w:rFonts w:cs="Arial"/>
          <w:szCs w:val="24"/>
        </w:rPr>
        <w:t xml:space="preserve">, it is </w:t>
      </w:r>
      <w:r>
        <w:rPr>
          <w:rFonts w:cs="Arial"/>
          <w:szCs w:val="24"/>
        </w:rPr>
        <w:t xml:space="preserve">less </w:t>
      </w:r>
      <w:r w:rsidR="00CD39B7">
        <w:rPr>
          <w:rFonts w:cs="Arial"/>
          <w:szCs w:val="24"/>
        </w:rPr>
        <w:t xml:space="preserve">likely that either Sprint or T-Mobile </w:t>
      </w:r>
      <w:r>
        <w:rPr>
          <w:rFonts w:cs="Arial"/>
          <w:szCs w:val="24"/>
        </w:rPr>
        <w:t>would</w:t>
      </w:r>
      <w:r w:rsidR="00CD39B7">
        <w:rPr>
          <w:rFonts w:cs="Arial"/>
          <w:szCs w:val="24"/>
        </w:rPr>
        <w:t xml:space="preserve"> be able to invest in 5G technology to the same extent as AT&amp;T and Verizon.  If the two smallest carriers are not </w:t>
      </w:r>
      <w:r>
        <w:rPr>
          <w:rFonts w:cs="Arial"/>
          <w:szCs w:val="24"/>
        </w:rPr>
        <w:t>permitted</w:t>
      </w:r>
      <w:r w:rsidR="00CD39B7">
        <w:rPr>
          <w:rFonts w:cs="Arial"/>
          <w:szCs w:val="24"/>
        </w:rPr>
        <w:t xml:space="preserve"> to combine as the industry moves to</w:t>
      </w:r>
      <w:r>
        <w:rPr>
          <w:rFonts w:cs="Arial"/>
          <w:szCs w:val="24"/>
        </w:rPr>
        <w:t xml:space="preserve"> depl</w:t>
      </w:r>
      <w:r w:rsidR="004A1BF4">
        <w:rPr>
          <w:rFonts w:cs="Arial"/>
          <w:szCs w:val="24"/>
        </w:rPr>
        <w:t>o</w:t>
      </w:r>
      <w:r>
        <w:rPr>
          <w:rFonts w:cs="Arial"/>
          <w:szCs w:val="24"/>
        </w:rPr>
        <w:t>y</w:t>
      </w:r>
      <w:r w:rsidR="00CD39B7">
        <w:rPr>
          <w:rFonts w:cs="Arial"/>
          <w:szCs w:val="24"/>
        </w:rPr>
        <w:t xml:space="preserve"> 5G </w:t>
      </w:r>
      <w:r>
        <w:rPr>
          <w:rFonts w:cs="Arial"/>
          <w:szCs w:val="24"/>
        </w:rPr>
        <w:t>facilities, there might still be a “four-</w:t>
      </w:r>
      <w:r w:rsidR="00CD39B7">
        <w:rPr>
          <w:rFonts w:cs="Arial"/>
          <w:szCs w:val="24"/>
        </w:rPr>
        <w:t xml:space="preserve">legged” </w:t>
      </w:r>
      <w:r w:rsidR="00CD39B7">
        <w:rPr>
          <w:rFonts w:cs="Arial"/>
          <w:szCs w:val="24"/>
        </w:rPr>
        <w:lastRenderedPageBreak/>
        <w:t xml:space="preserve">competitive stool for the low end of the market but not for the advanced 5G services </w:t>
      </w:r>
      <w:r>
        <w:rPr>
          <w:rFonts w:cs="Arial"/>
          <w:szCs w:val="24"/>
        </w:rPr>
        <w:t xml:space="preserve">to which </w:t>
      </w:r>
      <w:r w:rsidR="00CD39B7">
        <w:rPr>
          <w:rFonts w:cs="Arial"/>
          <w:szCs w:val="24"/>
        </w:rPr>
        <w:t xml:space="preserve">enterprise customers </w:t>
      </w:r>
      <w:r>
        <w:rPr>
          <w:rFonts w:cs="Arial"/>
          <w:szCs w:val="24"/>
        </w:rPr>
        <w:t>can be expected to migrate in the future.</w:t>
      </w:r>
      <w:r w:rsidR="00CD39B7">
        <w:rPr>
          <w:rFonts w:cs="Arial"/>
          <w:szCs w:val="24"/>
        </w:rPr>
        <w:t xml:space="preserve"> </w:t>
      </w:r>
    </w:p>
    <w:p w:rsidR="00A033D5" w:rsidRPr="008A2E24" w:rsidRDefault="00A033D5" w:rsidP="00CD39B7">
      <w:pPr>
        <w:ind w:firstLine="720"/>
        <w:rPr>
          <w:rFonts w:cs="Arial"/>
          <w:szCs w:val="24"/>
        </w:rPr>
      </w:pPr>
    </w:p>
    <w:p w:rsidR="00CD39B7" w:rsidRPr="008A2E24" w:rsidRDefault="00CD39B7" w:rsidP="00CD39B7">
      <w:pPr>
        <w:ind w:firstLine="720"/>
        <w:rPr>
          <w:rFonts w:cs="Arial"/>
          <w:szCs w:val="24"/>
        </w:rPr>
      </w:pPr>
      <w:r w:rsidRPr="008A2E24">
        <w:rPr>
          <w:rFonts w:cs="Arial"/>
          <w:szCs w:val="24"/>
        </w:rPr>
        <w:t xml:space="preserve">Because of the crucial and pervasive role that communications products and services play in a modern economy, communications service providers with market power can do </w:t>
      </w:r>
      <w:r w:rsidR="004A1BF4">
        <w:rPr>
          <w:rFonts w:cs="Arial"/>
          <w:szCs w:val="24"/>
        </w:rPr>
        <w:t>substantial</w:t>
      </w:r>
      <w:r w:rsidRPr="008A2E24">
        <w:rPr>
          <w:rFonts w:cs="Arial"/>
          <w:szCs w:val="24"/>
        </w:rPr>
        <w:t xml:space="preserve"> damage to the economy at large</w:t>
      </w:r>
      <w:r w:rsidR="004A1BF4">
        <w:rPr>
          <w:rFonts w:cs="Arial"/>
          <w:szCs w:val="24"/>
        </w:rPr>
        <w:t xml:space="preserve"> if their actions are not constrained by regulation or increased competition</w:t>
      </w:r>
      <w:r>
        <w:rPr>
          <w:rFonts w:cs="Arial"/>
          <w:szCs w:val="24"/>
        </w:rPr>
        <w:t>.  Accordingly</w:t>
      </w:r>
      <w:r w:rsidR="004A1BF4">
        <w:rPr>
          <w:rFonts w:cs="Arial"/>
          <w:szCs w:val="24"/>
        </w:rPr>
        <w:t>,</w:t>
      </w:r>
      <w:r>
        <w:rPr>
          <w:rFonts w:cs="Arial"/>
          <w:szCs w:val="24"/>
        </w:rPr>
        <w:t xml:space="preserve"> Ad Hoc urges the Commission to approve the </w:t>
      </w:r>
      <w:r w:rsidR="004A1BF4">
        <w:rPr>
          <w:rFonts w:cs="Arial"/>
          <w:szCs w:val="24"/>
        </w:rPr>
        <w:t>Sprint</w:t>
      </w:r>
      <w:r>
        <w:rPr>
          <w:rFonts w:cs="Arial"/>
          <w:szCs w:val="24"/>
        </w:rPr>
        <w:t xml:space="preserve">/T-Mobile merger </w:t>
      </w:r>
      <w:r w:rsidR="004A1BF4">
        <w:rPr>
          <w:rFonts w:cs="Arial"/>
          <w:szCs w:val="24"/>
        </w:rPr>
        <w:t>so</w:t>
      </w:r>
      <w:r>
        <w:rPr>
          <w:rFonts w:cs="Arial"/>
          <w:szCs w:val="24"/>
        </w:rPr>
        <w:t xml:space="preserve"> that advanced wi</w:t>
      </w:r>
      <w:r w:rsidR="004A1BF4">
        <w:rPr>
          <w:rFonts w:cs="Arial"/>
          <w:szCs w:val="24"/>
        </w:rPr>
        <w:t>reless communications services, upon which</w:t>
      </w:r>
      <w:r>
        <w:rPr>
          <w:rFonts w:cs="Arial"/>
          <w:szCs w:val="24"/>
        </w:rPr>
        <w:t xml:space="preserve"> enterprise customers depend today and</w:t>
      </w:r>
      <w:r w:rsidR="004A1BF4">
        <w:rPr>
          <w:rFonts w:cs="Arial"/>
          <w:szCs w:val="24"/>
        </w:rPr>
        <w:t xml:space="preserve"> will depend</w:t>
      </w:r>
      <w:r>
        <w:rPr>
          <w:rFonts w:cs="Arial"/>
          <w:szCs w:val="24"/>
        </w:rPr>
        <w:t xml:space="preserve"> in the future</w:t>
      </w:r>
      <w:r w:rsidR="004A1BF4">
        <w:rPr>
          <w:rFonts w:cs="Arial"/>
          <w:szCs w:val="24"/>
        </w:rPr>
        <w:t>, are more likely to develop in a competitive market</w:t>
      </w:r>
      <w:r>
        <w:rPr>
          <w:rFonts w:cs="Arial"/>
          <w:szCs w:val="24"/>
        </w:rPr>
        <w:t>.</w:t>
      </w:r>
    </w:p>
    <w:p w:rsidR="00CD39B7" w:rsidRDefault="00CD39B7" w:rsidP="00CD39B7"/>
    <w:p w:rsidR="000F3B31" w:rsidRDefault="000F3B31" w:rsidP="004A1BF4">
      <w:pPr>
        <w:ind w:left="2880" w:firstLine="720"/>
      </w:pPr>
      <w:r>
        <w:t xml:space="preserve">Sincerely, </w:t>
      </w:r>
    </w:p>
    <w:p w:rsidR="000F3B31" w:rsidRDefault="004A1BF4" w:rsidP="000F3B31">
      <w:r>
        <w:tab/>
      </w:r>
      <w:r>
        <w:tab/>
      </w:r>
      <w:r>
        <w:tab/>
      </w:r>
      <w:r>
        <w:tab/>
      </w:r>
      <w:r>
        <w:tab/>
      </w:r>
      <w:r w:rsidR="000F3B31">
        <w:rPr>
          <w:noProof/>
        </w:rPr>
        <w:drawing>
          <wp:inline distT="0" distB="0" distL="0" distR="0" wp14:anchorId="4EBC5EFE" wp14:editId="2B951E5A">
            <wp:extent cx="1878965" cy="438150"/>
            <wp:effectExtent l="0" t="0" r="0" b="0"/>
            <wp:docPr id="1" name="Picture 1" descr="s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6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BF4" w:rsidRDefault="004A1BF4" w:rsidP="000F3B31">
      <w:r>
        <w:tab/>
      </w:r>
      <w:r>
        <w:tab/>
      </w:r>
      <w:r>
        <w:tab/>
      </w:r>
      <w:r>
        <w:tab/>
      </w:r>
      <w:r>
        <w:tab/>
        <w:t>Colleen Boothby</w:t>
      </w:r>
    </w:p>
    <w:p w:rsidR="004A1BF4" w:rsidRDefault="004A1BF4" w:rsidP="000F3B31">
      <w:r>
        <w:tab/>
      </w:r>
      <w:r>
        <w:tab/>
      </w:r>
      <w:r>
        <w:tab/>
      </w:r>
      <w:r>
        <w:tab/>
      </w:r>
      <w:r>
        <w:tab/>
        <w:t>Counsel to the Ad Hoc Telecom Users Committee</w:t>
      </w:r>
    </w:p>
    <w:p w:rsidR="00A72EF2" w:rsidRDefault="00A72EF2" w:rsidP="000F3B31"/>
    <w:p w:rsidR="00A72EF2" w:rsidRDefault="00A72EF2" w:rsidP="000F3B31"/>
    <w:p w:rsidR="00F04E9A" w:rsidRDefault="00F04E9A" w:rsidP="000F3B31"/>
    <w:p w:rsidR="00F04E9A" w:rsidRDefault="00F04E9A" w:rsidP="000F3B31"/>
    <w:p w:rsidR="00A72EF2" w:rsidRDefault="00A72EF2" w:rsidP="000F3B31">
      <w:pPr>
        <w:rPr>
          <w:rFonts w:cs="TmsRmn"/>
          <w:szCs w:val="22"/>
        </w:rPr>
      </w:pPr>
      <w:r>
        <w:t>cc:</w:t>
      </w:r>
      <w:r>
        <w:tab/>
      </w:r>
      <w:r>
        <w:rPr>
          <w:rFonts w:cs="TmsRmn"/>
          <w:szCs w:val="22"/>
        </w:rPr>
        <w:t>Kathy Harris</w:t>
      </w:r>
      <w:r>
        <w:rPr>
          <w:rFonts w:cs="TmsRmn"/>
          <w:szCs w:val="22"/>
        </w:rPr>
        <w:t xml:space="preserve"> (</w:t>
      </w:r>
      <w:hyperlink r:id="rId9" w:history="1">
        <w:r w:rsidRPr="00DC1D25">
          <w:rPr>
            <w:rStyle w:val="Hyperlink"/>
            <w:rFonts w:cs="TmsRmn"/>
            <w:szCs w:val="22"/>
          </w:rPr>
          <w:t>kathy.harris@fcc.gov</w:t>
        </w:r>
      </w:hyperlink>
      <w:r>
        <w:rPr>
          <w:rFonts w:cs="TmsRmn"/>
          <w:szCs w:val="22"/>
        </w:rPr>
        <w:t>)</w:t>
      </w:r>
    </w:p>
    <w:p w:rsidR="00A72EF2" w:rsidRDefault="00A72EF2" w:rsidP="00A72EF2">
      <w:pPr>
        <w:ind w:firstLine="720"/>
        <w:rPr>
          <w:szCs w:val="22"/>
        </w:rPr>
      </w:pPr>
      <w:r>
        <w:rPr>
          <w:szCs w:val="22"/>
        </w:rPr>
        <w:t>Linda Ray</w:t>
      </w:r>
      <w:r>
        <w:rPr>
          <w:szCs w:val="22"/>
        </w:rPr>
        <w:t xml:space="preserve"> (</w:t>
      </w:r>
      <w:hyperlink r:id="rId10" w:history="1">
        <w:r w:rsidRPr="00DC1D25">
          <w:rPr>
            <w:rStyle w:val="Hyperlink"/>
            <w:szCs w:val="22"/>
          </w:rPr>
          <w:t>linda.ray@fcc.gov</w:t>
        </w:r>
      </w:hyperlink>
      <w:r>
        <w:rPr>
          <w:szCs w:val="22"/>
        </w:rPr>
        <w:t>)</w:t>
      </w:r>
    </w:p>
    <w:p w:rsidR="00F04E9A" w:rsidRDefault="00A72EF2" w:rsidP="00A72EF2">
      <w:pPr>
        <w:ind w:firstLine="720"/>
        <w:rPr>
          <w:rFonts w:cs="TmsRmn"/>
          <w:szCs w:val="22"/>
        </w:rPr>
      </w:pPr>
      <w:r>
        <w:rPr>
          <w:szCs w:val="22"/>
        </w:rPr>
        <w:t xml:space="preserve">Kate Matraves </w:t>
      </w:r>
      <w:r w:rsidR="00F04E9A">
        <w:rPr>
          <w:szCs w:val="22"/>
        </w:rPr>
        <w:t>(</w:t>
      </w:r>
      <w:hyperlink r:id="rId11" w:history="1">
        <w:r w:rsidR="00F04E9A" w:rsidRPr="00DC1D25">
          <w:rPr>
            <w:rStyle w:val="Hyperlink"/>
            <w:rFonts w:cs="TmsRmn"/>
            <w:szCs w:val="22"/>
          </w:rPr>
          <w:t>catherine.matraves@fcc.gov</w:t>
        </w:r>
      </w:hyperlink>
      <w:r w:rsidR="00F04E9A">
        <w:rPr>
          <w:rFonts w:cs="TmsRmn"/>
          <w:szCs w:val="22"/>
        </w:rPr>
        <w:t>)</w:t>
      </w:r>
    </w:p>
    <w:p w:rsidR="00F04E9A" w:rsidRDefault="00A72EF2" w:rsidP="00A72EF2">
      <w:pPr>
        <w:ind w:firstLine="720"/>
        <w:rPr>
          <w:color w:val="000000"/>
          <w:szCs w:val="22"/>
        </w:rPr>
      </w:pPr>
      <w:r>
        <w:rPr>
          <w:color w:val="000000"/>
          <w:szCs w:val="22"/>
        </w:rPr>
        <w:t xml:space="preserve">Jim Bird </w:t>
      </w:r>
      <w:r w:rsidR="00F04E9A">
        <w:rPr>
          <w:color w:val="000000"/>
          <w:szCs w:val="22"/>
        </w:rPr>
        <w:t>(</w:t>
      </w:r>
      <w:hyperlink r:id="rId12" w:history="1">
        <w:r w:rsidR="00F04E9A" w:rsidRPr="00DC1D25">
          <w:rPr>
            <w:rStyle w:val="Hyperlink"/>
            <w:szCs w:val="22"/>
          </w:rPr>
          <w:t>TransactionTeam@fcc.gov</w:t>
        </w:r>
      </w:hyperlink>
      <w:r w:rsidR="00F04E9A">
        <w:rPr>
          <w:color w:val="000000"/>
          <w:szCs w:val="22"/>
        </w:rPr>
        <w:t xml:space="preserve">) </w:t>
      </w:r>
    </w:p>
    <w:p w:rsidR="00A72EF2" w:rsidRDefault="00A72EF2" w:rsidP="00A72EF2">
      <w:pPr>
        <w:ind w:firstLine="720"/>
      </w:pPr>
      <w:r>
        <w:rPr>
          <w:color w:val="000000"/>
          <w:szCs w:val="22"/>
        </w:rPr>
        <w:t>David Krech</w:t>
      </w:r>
      <w:r w:rsidR="00F04E9A">
        <w:rPr>
          <w:color w:val="000000"/>
          <w:szCs w:val="22"/>
        </w:rPr>
        <w:t xml:space="preserve"> (</w:t>
      </w:r>
      <w:hyperlink r:id="rId13" w:history="1">
        <w:r w:rsidR="00F04E9A" w:rsidRPr="00DC1D25">
          <w:rPr>
            <w:rStyle w:val="Hyperlink"/>
            <w:szCs w:val="22"/>
          </w:rPr>
          <w:t>david.krech@fcc.gov</w:t>
        </w:r>
      </w:hyperlink>
      <w:r w:rsidR="00F04E9A">
        <w:rPr>
          <w:color w:val="000000"/>
          <w:szCs w:val="22"/>
        </w:rPr>
        <w:t xml:space="preserve">) </w:t>
      </w:r>
    </w:p>
    <w:p w:rsidR="004A1BF4" w:rsidRDefault="004A1BF4" w:rsidP="000F3B31">
      <w:r>
        <w:tab/>
      </w:r>
      <w:r>
        <w:tab/>
      </w:r>
    </w:p>
    <w:p w:rsidR="000F3B31" w:rsidRPr="000A4296" w:rsidRDefault="000F3B31" w:rsidP="000F3B31">
      <w:pPr>
        <w:rPr>
          <w:rFonts w:cs="Arial"/>
          <w:sz w:val="22"/>
          <w:szCs w:val="22"/>
        </w:rPr>
      </w:pPr>
    </w:p>
    <w:p w:rsidR="000F3B31" w:rsidRPr="00CD39B7" w:rsidRDefault="000F3B31" w:rsidP="00CD39B7"/>
    <w:sectPr w:rsidR="000F3B31" w:rsidRPr="00CD39B7" w:rsidSect="00EB689C">
      <w:headerReference w:type="default" r:id="rId14"/>
      <w:footerReference w:type="default" r:id="rId15"/>
      <w:headerReference w:type="first" r:id="rId16"/>
      <w:footerReference w:type="first" r:id="rId17"/>
      <w:pgSz w:w="12240" w:h="15840"/>
      <w:pgMar w:top="189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4469" w:rsidRDefault="00664469" w:rsidP="002E2176">
      <w:r>
        <w:separator/>
      </w:r>
    </w:p>
  </w:endnote>
  <w:endnote w:type="continuationSeparator" w:id="0">
    <w:p w:rsidR="00664469" w:rsidRDefault="00664469" w:rsidP="002E2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Rmn">
    <w:altName w:val="Courier New"/>
    <w:panose1 w:val="00000000000000000000"/>
    <w:charset w:val="00"/>
    <w:family w:val="decorative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1545450"/>
      <w:docPartObj>
        <w:docPartGallery w:val="Page Numbers (Bottom of Page)"/>
        <w:docPartUnique/>
      </w:docPartObj>
    </w:sdtPr>
    <w:sdtEndPr>
      <w:rPr>
        <w:rFonts w:cs="Arial"/>
        <w:b/>
      </w:rPr>
    </w:sdtEndPr>
    <w:sdtContent>
      <w:p w:rsidR="008C703B" w:rsidRDefault="00434C6A" w:rsidP="008C703B">
        <w:pPr>
          <w:pStyle w:val="Footer"/>
          <w:spacing w:before="60" w:after="60"/>
          <w:jc w:val="center"/>
          <w:rPr>
            <w:rFonts w:cs="Arial"/>
            <w:b/>
          </w:rPr>
        </w:pPr>
        <w:r w:rsidRPr="00BE35A6">
          <w:rPr>
            <w:rFonts w:cs="Arial"/>
            <w:b/>
            <w:szCs w:val="24"/>
          </w:rPr>
          <w:fldChar w:fldCharType="begin"/>
        </w:r>
        <w:r w:rsidR="008C703B" w:rsidRPr="00BE35A6">
          <w:rPr>
            <w:rFonts w:cs="Arial"/>
            <w:b/>
            <w:szCs w:val="24"/>
          </w:rPr>
          <w:instrText xml:space="preserve"> PAGE   \* MERGEFORMAT </w:instrText>
        </w:r>
        <w:r w:rsidRPr="00BE35A6">
          <w:rPr>
            <w:rFonts w:cs="Arial"/>
            <w:b/>
            <w:szCs w:val="24"/>
          </w:rPr>
          <w:fldChar w:fldCharType="separate"/>
        </w:r>
        <w:r w:rsidR="008361D6">
          <w:rPr>
            <w:rFonts w:cs="Arial"/>
            <w:b/>
            <w:noProof/>
            <w:szCs w:val="24"/>
          </w:rPr>
          <w:t>2</w:t>
        </w:r>
        <w:r w:rsidRPr="00BE35A6">
          <w:rPr>
            <w:rFonts w:cs="Arial"/>
            <w:b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7A95" w:rsidRDefault="000A305F" w:rsidP="008C703B">
    <w:pPr>
      <w:pStyle w:val="Footer"/>
      <w:jc w:val="center"/>
    </w:pPr>
    <w:r>
      <w:rPr>
        <w:noProof/>
      </w:rPr>
      <w:drawing>
        <wp:inline distT="0" distB="0" distL="0" distR="0">
          <wp:extent cx="5943600" cy="274955"/>
          <wp:effectExtent l="19050" t="0" r="0" b="0"/>
          <wp:docPr id="3" name="Picture 2" descr="Contact Strip for Letterhe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ntact Strip for Letterhead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274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4469" w:rsidRDefault="00664469" w:rsidP="002E2176">
      <w:r>
        <w:separator/>
      </w:r>
    </w:p>
  </w:footnote>
  <w:footnote w:type="continuationSeparator" w:id="0">
    <w:p w:rsidR="00664469" w:rsidRDefault="00664469" w:rsidP="002E2176">
      <w:r>
        <w:continuationSeparator/>
      </w:r>
    </w:p>
  </w:footnote>
  <w:footnote w:id="1">
    <w:p w:rsidR="000F3B31" w:rsidRDefault="000F3B31" w:rsidP="00CC5EF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CC5EF0">
        <w:tab/>
      </w:r>
      <w:r w:rsidR="00CC5EF0" w:rsidRPr="00CC5EF0">
        <w:rPr>
          <w:i/>
        </w:rPr>
        <w:t>Pleading Cycle Established</w:t>
      </w:r>
      <w:r w:rsidR="00CC5EF0">
        <w:rPr>
          <w:i/>
        </w:rPr>
        <w:t xml:space="preserve">, </w:t>
      </w:r>
      <w:r w:rsidR="00CC5EF0">
        <w:t xml:space="preserve">Public Notice, </w:t>
      </w:r>
      <w:r w:rsidR="00CC5EF0">
        <w:t>DA 18-740</w:t>
      </w:r>
      <w:r w:rsidR="00CC5EF0">
        <w:t xml:space="preserve">, rel. </w:t>
      </w:r>
      <w:r w:rsidR="00CC5EF0">
        <w:t>Jul</w:t>
      </w:r>
      <w:r w:rsidR="00CC5EF0">
        <w:t>.</w:t>
      </w:r>
      <w:r w:rsidR="00CC5EF0">
        <w:t xml:space="preserve"> 18, 2018</w:t>
      </w:r>
      <w:r w:rsidR="00CC5EF0">
        <w:t>.</w:t>
      </w:r>
    </w:p>
  </w:footnote>
  <w:footnote w:id="2">
    <w:p w:rsidR="00CD39B7" w:rsidRDefault="00CD39B7" w:rsidP="00CD39B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34022C">
        <w:tab/>
      </w:r>
      <w:r w:rsidR="0034022C" w:rsidRPr="0034022C">
        <w:rPr>
          <w:i/>
        </w:rPr>
        <w:t>See</w:t>
      </w:r>
      <w:r w:rsidR="0034022C" w:rsidRPr="0034022C">
        <w:t xml:space="preserve"> </w:t>
      </w:r>
      <w:r w:rsidR="0034022C" w:rsidRPr="0034022C">
        <w:rPr>
          <w:i/>
          <w:iCs/>
        </w:rPr>
        <w:t xml:space="preserve">Implementation of Section 6002(b) of the Omnibus Budget Reconciliation Act of 1993, Annual Report and Analysis of Competitive Market Conditions </w:t>
      </w:r>
      <w:r w:rsidR="004A1BF4" w:rsidRPr="0034022C">
        <w:rPr>
          <w:i/>
          <w:iCs/>
        </w:rPr>
        <w:t>with</w:t>
      </w:r>
      <w:r w:rsidR="0034022C" w:rsidRPr="0034022C">
        <w:rPr>
          <w:i/>
          <w:iCs/>
        </w:rPr>
        <w:t xml:space="preserve"> Respect to Mobile Wireless, Including Commercial Mobile Services</w:t>
      </w:r>
      <w:r w:rsidR="0034022C" w:rsidRPr="0034022C">
        <w:t xml:space="preserve">, WT Docket No. 17-69, Twentieth Report, FCC 17-126, at </w:t>
      </w:r>
      <w:r w:rsidR="0034022C">
        <w:t>Tables</w:t>
      </w:r>
      <w:r w:rsidR="0034022C" w:rsidRPr="0034022C">
        <w:t xml:space="preserve"> II.B.1 and II.C.1 (Sept. 27, 2017)</w:t>
      </w:r>
      <w:r w:rsidR="0034022C">
        <w:t>.</w:t>
      </w:r>
    </w:p>
  </w:footnote>
  <w:footnote w:id="3">
    <w:p w:rsidR="00CD39B7" w:rsidRDefault="00CD39B7" w:rsidP="00CD39B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34022C">
        <w:tab/>
      </w:r>
      <w:r>
        <w:t xml:space="preserve">See </w:t>
      </w:r>
      <w:r w:rsidR="00CC5EF0">
        <w:t>Comments of Ad Hoc Telecom Users Committee</w:t>
      </w:r>
      <w:r>
        <w:t xml:space="preserve"> in </w:t>
      </w:r>
      <w:r w:rsidRPr="00955C8D">
        <w:t>WT Docket No. 11-65</w:t>
      </w:r>
      <w:r w:rsidR="00CC5EF0">
        <w:t xml:space="preserve">, filed </w:t>
      </w:r>
      <w:r>
        <w:t xml:space="preserve">May 31, 2011 at 2 and </w:t>
      </w:r>
      <w:r w:rsidR="00CC5EF0">
        <w:t>Attachment A,</w:t>
      </w:r>
      <w:r>
        <w:t xml:space="preserve"> Declaration of Dr. Lee L. Selwyn.  </w:t>
      </w:r>
    </w:p>
  </w:footnote>
  <w:footnote w:id="4">
    <w:p w:rsidR="00CD39B7" w:rsidRDefault="00CD39B7" w:rsidP="00CD39B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34022C">
        <w:tab/>
      </w:r>
      <w:r w:rsidR="0034022C">
        <w:rPr>
          <w:i/>
        </w:rPr>
        <w:t xml:space="preserve">See </w:t>
      </w:r>
      <w:r w:rsidR="0034022C">
        <w:t xml:space="preserve">note 2, </w:t>
      </w:r>
      <w:r w:rsidR="0034022C">
        <w:rPr>
          <w:i/>
        </w:rPr>
        <w:t>supra.</w:t>
      </w:r>
    </w:p>
  </w:footnote>
  <w:footnote w:id="5">
    <w:p w:rsidR="00CD39B7" w:rsidRDefault="00CD39B7" w:rsidP="00CD39B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34022C">
        <w:tab/>
      </w:r>
      <w:r w:rsidR="0034022C">
        <w:rPr>
          <w:i/>
        </w:rPr>
        <w:t xml:space="preserve">Id. </w:t>
      </w:r>
      <w:r w:rsidR="0034022C">
        <w:t>at</w:t>
      </w:r>
      <w:r>
        <w:t xml:space="preserve"> Table III-D-1.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95A" w:rsidRDefault="0066095A" w:rsidP="003554A9">
    <w:pPr>
      <w:pStyle w:val="Header"/>
      <w:ind w:left="720"/>
      <w:jc w:val="right"/>
    </w:pPr>
    <w:r w:rsidRPr="009D7FAA">
      <w:rPr>
        <w:rFonts w:cs="Arial"/>
        <w:noProof/>
        <w:szCs w:val="24"/>
      </w:rPr>
      <w:drawing>
        <wp:anchor distT="0" distB="0" distL="114300" distR="114300" simplePos="0" relativeHeight="251661312" behindDoc="1" locked="0" layoutInCell="1" allowOverlap="1" wp14:anchorId="08C4871A" wp14:editId="767FB72D">
          <wp:simplePos x="0" y="0"/>
          <wp:positionH relativeFrom="column">
            <wp:posOffset>-484244</wp:posOffset>
          </wp:positionH>
          <wp:positionV relativeFrom="page">
            <wp:posOffset>412750</wp:posOffset>
          </wp:positionV>
          <wp:extent cx="857250" cy="711200"/>
          <wp:effectExtent l="0" t="0" r="0" b="0"/>
          <wp:wrapTight wrapText="bothSides">
            <wp:wrapPolygon edited="0">
              <wp:start x="0" y="0"/>
              <wp:lineTo x="0" y="20829"/>
              <wp:lineTo x="21120" y="20829"/>
              <wp:lineTo x="21120" y="0"/>
              <wp:lineTo x="0" y="0"/>
            </wp:wrapPolygon>
          </wp:wrapTight>
          <wp:docPr id="10" name="Picture 4" descr="LB3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3LOGO.jpg"/>
                  <pic:cNvPicPr/>
                </pic:nvPicPr>
                <pic:blipFill>
                  <a:blip r:embed="rId1"/>
                  <a:srcRect r="73267"/>
                  <a:stretch>
                    <a:fillRect/>
                  </a:stretch>
                </pic:blipFill>
                <pic:spPr>
                  <a:xfrm>
                    <a:off x="0" y="0"/>
                    <a:ext cx="857250" cy="71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E2176" w:rsidRPr="00DB1288" w:rsidRDefault="002E2176" w:rsidP="00DB1288">
    <w:pPr>
      <w:ind w:left="900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7A95" w:rsidRDefault="00557450" w:rsidP="00B47A95">
    <w:pPr>
      <w:pStyle w:val="Header"/>
      <w:jc w:val="center"/>
    </w:pPr>
    <w:r>
      <w:rPr>
        <w:noProof/>
      </w:rPr>
      <w:drawing>
        <wp:inline distT="0" distB="0" distL="0" distR="0">
          <wp:extent cx="3200400" cy="707136"/>
          <wp:effectExtent l="19050" t="0" r="0" b="0"/>
          <wp:docPr id="5" name="Picture 4" descr="LB3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3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00400" cy="707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F0072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5B06C8"/>
    <w:multiLevelType w:val="hybridMultilevel"/>
    <w:tmpl w:val="BBFAEA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76F0E53"/>
    <w:multiLevelType w:val="hybridMultilevel"/>
    <w:tmpl w:val="1F8A71A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9E52D0"/>
    <w:multiLevelType w:val="multilevel"/>
    <w:tmpl w:val="D10C3EC0"/>
    <w:styleLink w:val="SearsRFPperEBlock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9814962"/>
    <w:multiLevelType w:val="hybridMultilevel"/>
    <w:tmpl w:val="9DEC07C8"/>
    <w:lvl w:ilvl="0" w:tplc="6BFAEBD2">
      <w:numFmt w:val="bullet"/>
      <w:lvlText w:val="•"/>
      <w:lvlJc w:val="left"/>
      <w:pPr>
        <w:ind w:left="1440" w:hanging="72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89670A0"/>
    <w:multiLevelType w:val="hybridMultilevel"/>
    <w:tmpl w:val="DB90E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56943A9"/>
    <w:multiLevelType w:val="hybridMultilevel"/>
    <w:tmpl w:val="B93E3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95A"/>
    <w:rsid w:val="0003014C"/>
    <w:rsid w:val="00066BF7"/>
    <w:rsid w:val="000A1CB2"/>
    <w:rsid w:val="000A305F"/>
    <w:rsid w:val="000A4296"/>
    <w:rsid w:val="000F3B31"/>
    <w:rsid w:val="001277BF"/>
    <w:rsid w:val="00133D2C"/>
    <w:rsid w:val="00204DC6"/>
    <w:rsid w:val="00215727"/>
    <w:rsid w:val="00222E75"/>
    <w:rsid w:val="0022701F"/>
    <w:rsid w:val="00244022"/>
    <w:rsid w:val="00283A91"/>
    <w:rsid w:val="002B0AC2"/>
    <w:rsid w:val="002E2176"/>
    <w:rsid w:val="002F4BAC"/>
    <w:rsid w:val="0034022C"/>
    <w:rsid w:val="003554A9"/>
    <w:rsid w:val="00356FB9"/>
    <w:rsid w:val="0037616E"/>
    <w:rsid w:val="003A1FF7"/>
    <w:rsid w:val="003F18FD"/>
    <w:rsid w:val="003F514C"/>
    <w:rsid w:val="00434C6A"/>
    <w:rsid w:val="00494D57"/>
    <w:rsid w:val="004A1BF4"/>
    <w:rsid w:val="004A47F5"/>
    <w:rsid w:val="004F14BE"/>
    <w:rsid w:val="00557450"/>
    <w:rsid w:val="005741AC"/>
    <w:rsid w:val="00612144"/>
    <w:rsid w:val="0066095A"/>
    <w:rsid w:val="00664469"/>
    <w:rsid w:val="006D1717"/>
    <w:rsid w:val="006D1E2C"/>
    <w:rsid w:val="00730F78"/>
    <w:rsid w:val="007B6BBA"/>
    <w:rsid w:val="007E2243"/>
    <w:rsid w:val="008037FA"/>
    <w:rsid w:val="008361D6"/>
    <w:rsid w:val="008C703B"/>
    <w:rsid w:val="00904E61"/>
    <w:rsid w:val="00914F8E"/>
    <w:rsid w:val="00924A69"/>
    <w:rsid w:val="0092708C"/>
    <w:rsid w:val="009B45D3"/>
    <w:rsid w:val="009D7064"/>
    <w:rsid w:val="009D7FAA"/>
    <w:rsid w:val="00A033D5"/>
    <w:rsid w:val="00A15A73"/>
    <w:rsid w:val="00A328E2"/>
    <w:rsid w:val="00A72EF2"/>
    <w:rsid w:val="00A80C29"/>
    <w:rsid w:val="00A83B40"/>
    <w:rsid w:val="00AC059A"/>
    <w:rsid w:val="00AC176D"/>
    <w:rsid w:val="00AF65C8"/>
    <w:rsid w:val="00B2680B"/>
    <w:rsid w:val="00B32458"/>
    <w:rsid w:val="00B47A95"/>
    <w:rsid w:val="00BA5644"/>
    <w:rsid w:val="00BE35A6"/>
    <w:rsid w:val="00BF0EC5"/>
    <w:rsid w:val="00BF6269"/>
    <w:rsid w:val="00C13BB6"/>
    <w:rsid w:val="00C30736"/>
    <w:rsid w:val="00CC5EF0"/>
    <w:rsid w:val="00CD39B7"/>
    <w:rsid w:val="00CE6F95"/>
    <w:rsid w:val="00D156FA"/>
    <w:rsid w:val="00D57E54"/>
    <w:rsid w:val="00D60953"/>
    <w:rsid w:val="00DB1288"/>
    <w:rsid w:val="00DB1CA1"/>
    <w:rsid w:val="00E40645"/>
    <w:rsid w:val="00EB2D14"/>
    <w:rsid w:val="00EB689C"/>
    <w:rsid w:val="00EB7408"/>
    <w:rsid w:val="00EC11A4"/>
    <w:rsid w:val="00ED7281"/>
    <w:rsid w:val="00EF7CDD"/>
    <w:rsid w:val="00F04E9A"/>
    <w:rsid w:val="00F24429"/>
    <w:rsid w:val="00F31ABA"/>
    <w:rsid w:val="00F64086"/>
    <w:rsid w:val="00F75C97"/>
    <w:rsid w:val="00F8175A"/>
    <w:rsid w:val="00F822A7"/>
    <w:rsid w:val="00F92240"/>
    <w:rsid w:val="00FA6A26"/>
    <w:rsid w:val="00FC164C"/>
    <w:rsid w:val="00FD2F78"/>
    <w:rsid w:val="00FF2A17"/>
    <w:rsid w:val="00FF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26E72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3D2C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earsRFPperEBlock">
    <w:name w:val="Sears RFP per E. Block"/>
    <w:uiPriority w:val="99"/>
    <w:rsid w:val="00A328E2"/>
    <w:pPr>
      <w:numPr>
        <w:numId w:val="1"/>
      </w:numPr>
    </w:pPr>
  </w:style>
  <w:style w:type="paragraph" w:styleId="Header">
    <w:name w:val="header"/>
    <w:basedOn w:val="Normal"/>
    <w:link w:val="HeaderChar"/>
    <w:unhideWhenUsed/>
    <w:rsid w:val="002E21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2176"/>
  </w:style>
  <w:style w:type="paragraph" w:styleId="Footer">
    <w:name w:val="footer"/>
    <w:basedOn w:val="Normal"/>
    <w:link w:val="FooterChar"/>
    <w:uiPriority w:val="99"/>
    <w:unhideWhenUsed/>
    <w:rsid w:val="002E21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2176"/>
  </w:style>
  <w:style w:type="paragraph" w:styleId="BalloonText">
    <w:name w:val="Balloon Text"/>
    <w:basedOn w:val="Normal"/>
    <w:link w:val="BalloonTextChar"/>
    <w:uiPriority w:val="99"/>
    <w:semiHidden/>
    <w:unhideWhenUsed/>
    <w:rsid w:val="002E21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17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C176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C176D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8C703B"/>
    <w:pPr>
      <w:spacing w:before="120" w:after="120"/>
      <w:ind w:firstLine="7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rsid w:val="008C703B"/>
    <w:rPr>
      <w:rFonts w:ascii="Arial" w:hAnsi="Arial"/>
      <w:sz w:val="24"/>
    </w:rPr>
  </w:style>
  <w:style w:type="paragraph" w:styleId="Title">
    <w:name w:val="Title"/>
    <w:next w:val="Normal"/>
    <w:link w:val="TitleChar"/>
    <w:uiPriority w:val="10"/>
    <w:qFormat/>
    <w:rsid w:val="008C703B"/>
    <w:pPr>
      <w:pBdr>
        <w:bottom w:val="single" w:sz="8" w:space="4" w:color="4F81BD" w:themeColor="accent1"/>
      </w:pBdr>
      <w:spacing w:after="240" w:line="240" w:lineRule="auto"/>
      <w:contextualSpacing/>
      <w:jc w:val="center"/>
    </w:pPr>
    <w:rPr>
      <w:rFonts w:ascii="Arial" w:eastAsiaTheme="majorEastAsia" w:hAnsi="Arial" w:cstheme="majorBidi"/>
      <w:b/>
      <w:spacing w:val="5"/>
      <w:kern w:val="28"/>
      <w:sz w:val="2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C703B"/>
    <w:rPr>
      <w:rFonts w:ascii="Arial" w:eastAsiaTheme="majorEastAsia" w:hAnsi="Arial" w:cstheme="majorBidi"/>
      <w:b/>
      <w:spacing w:val="5"/>
      <w:kern w:val="28"/>
      <w:sz w:val="24"/>
      <w:szCs w:val="52"/>
    </w:rPr>
  </w:style>
  <w:style w:type="paragraph" w:customStyle="1" w:styleId="Address">
    <w:name w:val="Address"/>
    <w:qFormat/>
    <w:rsid w:val="008C703B"/>
    <w:pPr>
      <w:spacing w:before="120" w:after="120" w:line="240" w:lineRule="auto"/>
      <w:jc w:val="both"/>
    </w:pPr>
    <w:rPr>
      <w:rFonts w:ascii="Arial" w:hAnsi="Arial"/>
      <w:sz w:val="24"/>
    </w:rPr>
  </w:style>
  <w:style w:type="paragraph" w:styleId="FootnoteText">
    <w:name w:val="footnote text"/>
    <w:basedOn w:val="Normal"/>
    <w:link w:val="FootnoteTextChar"/>
    <w:uiPriority w:val="99"/>
    <w:unhideWhenUsed/>
    <w:rsid w:val="0034022C"/>
    <w:pPr>
      <w:spacing w:after="120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022C"/>
    <w:rPr>
      <w:rFonts w:ascii="Arial" w:eastAsia="Times New Roman" w:hAnsi="Arial" w:cs="Times New Roman"/>
      <w:sz w:val="18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C703B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72EF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david.krech@fcc.gov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ransactionTeam@fcc.gov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atherine.matraves@fcc.gov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linda.ray@fcc.gov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kathy.harris@fcc.gov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gado\Desktop\ADMIN\LB3Templates\LB3%20Letterhead%20Template%20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E967D-93CF-497E-9E3E-12CD5CA13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LB3 Letterhead Template 2012</Template>
  <TotalTime>0</TotalTime>
  <Pages>3</Pages>
  <Words>920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2018-09-17T20:42:00Z</dcterms:created>
  <dcterms:modified xsi:type="dcterms:W3CDTF">2018-09-17T21:58:00Z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ABAAVOAfoSrQoywjt9/OxXT++2Hhb96xwUvxfWjkANslG/QHO64KRlAwvQCfzBPx2A5h</vt:lpwstr>
  </property>
  <property fmtid="{D5CDD505-2E9C-101B-9397-08002B2CF9AE}" pid="3" name="MAIL_MSG_ID2">
    <vt:lpwstr>koziz52LYtvnpkbCVCBA9nPWHuIXPFIeQLrNnLDI11ccKtOb1n6RIZt9zIZ
6hNIu4C+OyVNl3DqC/tFkPZXcE8=</vt:lpwstr>
  </property>
  <property fmtid="{D5CDD505-2E9C-101B-9397-08002B2CF9AE}" pid="4" name="RESPONSE_SENDER_NAME">
    <vt:lpwstr>gAAAdya76B99d4hLGUR1rQ+8TxTv0GGEPdix</vt:lpwstr>
  </property>
  <property fmtid="{D5CDD505-2E9C-101B-9397-08002B2CF9AE}" pid="5" name="EMAIL_OWNER_ADDRESS">
    <vt:lpwstr>4AAA4Lxe55UJ0C9Ml9mjH2/SEYv4ofYV1QgGlnRSnOtdUSQhyhA7mYu1iw==</vt:lpwstr>
  </property>
</Properties>
</file>