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85500E" w14:textId="77777777" w:rsidR="00F44418" w:rsidRDefault="00F44418" w:rsidP="00F44418">
      <w:pPr>
        <w:jc w:val="center"/>
        <w:rPr>
          <w:b/>
        </w:rPr>
      </w:pPr>
      <w:r>
        <w:rPr>
          <w:b/>
        </w:rPr>
        <w:t xml:space="preserve">Outline of Presentation </w:t>
      </w:r>
    </w:p>
    <w:p w14:paraId="65EE328E" w14:textId="4FBA3A63" w:rsidR="00F44418" w:rsidRDefault="00F44418" w:rsidP="00930323">
      <w:pPr>
        <w:jc w:val="center"/>
        <w:rPr>
          <w:b/>
        </w:rPr>
      </w:pPr>
      <w:proofErr w:type="gramStart"/>
      <w:r>
        <w:rPr>
          <w:b/>
        </w:rPr>
        <w:t>to</w:t>
      </w:r>
      <w:proofErr w:type="gramEnd"/>
      <w:r>
        <w:rPr>
          <w:b/>
        </w:rPr>
        <w:t xml:space="preserve"> </w:t>
      </w:r>
      <w:r w:rsidR="00930323">
        <w:rPr>
          <w:b/>
        </w:rPr>
        <w:t xml:space="preserve">FCC Chairman </w:t>
      </w:r>
      <w:proofErr w:type="spellStart"/>
      <w:r w:rsidR="00930323">
        <w:rPr>
          <w:b/>
        </w:rPr>
        <w:t>Pai’s</w:t>
      </w:r>
      <w:proofErr w:type="spellEnd"/>
      <w:r w:rsidR="00930323">
        <w:rPr>
          <w:b/>
        </w:rPr>
        <w:t xml:space="preserve"> Office </w:t>
      </w:r>
    </w:p>
    <w:p w14:paraId="365EBD29" w14:textId="6B8B9586" w:rsidR="00930323" w:rsidRDefault="00930323" w:rsidP="00930323">
      <w:pPr>
        <w:jc w:val="center"/>
        <w:rPr>
          <w:b/>
        </w:rPr>
      </w:pPr>
      <w:r>
        <w:rPr>
          <w:b/>
        </w:rPr>
        <w:t>September 17, 2018</w:t>
      </w:r>
    </w:p>
    <w:p w14:paraId="7E165157" w14:textId="77777777" w:rsidR="00F44418" w:rsidRDefault="00F44418" w:rsidP="00F44418">
      <w:pPr>
        <w:jc w:val="center"/>
      </w:pPr>
    </w:p>
    <w:p w14:paraId="393B7C0E" w14:textId="797920DE" w:rsidR="00F44418" w:rsidRPr="00AC35CE" w:rsidRDefault="00F44418" w:rsidP="00F44418">
      <w:pPr>
        <w:rPr>
          <w:b/>
        </w:rPr>
      </w:pPr>
      <w:r w:rsidRPr="00AC35CE">
        <w:rPr>
          <w:b/>
        </w:rPr>
        <w:t>ATDS Definition</w:t>
      </w:r>
      <w:r w:rsidRPr="00AC35CE">
        <w:rPr>
          <w:b/>
        </w:rPr>
        <w:br/>
      </w:r>
    </w:p>
    <w:p w14:paraId="7C41410E" w14:textId="57BFB525" w:rsidR="00763741" w:rsidRDefault="00F44418" w:rsidP="00F44418">
      <w:pPr>
        <w:pStyle w:val="ListParagraph"/>
        <w:numPr>
          <w:ilvl w:val="0"/>
          <w:numId w:val="1"/>
        </w:numPr>
      </w:pPr>
      <w:r>
        <w:t>Necessity to cover debt collection</w:t>
      </w:r>
      <w:r w:rsidR="00763741">
        <w:t>, survey calls</w:t>
      </w:r>
      <w:r>
        <w:t xml:space="preserve"> and telemarketing </w:t>
      </w:r>
      <w:r w:rsidR="00763741">
        <w:t>calls to business lines</w:t>
      </w:r>
    </w:p>
    <w:p w14:paraId="02F07C9F" w14:textId="77777777" w:rsidR="00F44418" w:rsidRDefault="00F44418" w:rsidP="00F44418">
      <w:pPr>
        <w:pStyle w:val="ListParagraph"/>
        <w:numPr>
          <w:ilvl w:val="1"/>
          <w:numId w:val="1"/>
        </w:numPr>
      </w:pPr>
      <w:r>
        <w:t>Sheer numbers and horror stories</w:t>
      </w:r>
    </w:p>
    <w:p w14:paraId="5EE99DBA" w14:textId="77777777" w:rsidR="00F44418" w:rsidRDefault="00F44418" w:rsidP="00F44418">
      <w:pPr>
        <w:pStyle w:val="ListParagraph"/>
        <w:numPr>
          <w:ilvl w:val="1"/>
          <w:numId w:val="1"/>
        </w:numPr>
      </w:pPr>
      <w:r>
        <w:t>No other law covers</w:t>
      </w:r>
    </w:p>
    <w:p w14:paraId="4354CABB" w14:textId="77777777" w:rsidR="00F44418" w:rsidRDefault="00F44418" w:rsidP="00F44418">
      <w:pPr>
        <w:pStyle w:val="ListParagraph"/>
        <w:numPr>
          <w:ilvl w:val="1"/>
          <w:numId w:val="1"/>
        </w:numPr>
      </w:pPr>
      <w:r>
        <w:t>Look at who is requesting relief</w:t>
      </w:r>
    </w:p>
    <w:p w14:paraId="26F23077" w14:textId="77777777" w:rsidR="00F44418" w:rsidRDefault="00F44418" w:rsidP="00F44418">
      <w:pPr>
        <w:pStyle w:val="ListParagraph"/>
        <w:numPr>
          <w:ilvl w:val="1"/>
          <w:numId w:val="1"/>
        </w:numPr>
      </w:pPr>
      <w:r>
        <w:t>No reason to believe TCPA does not cover these calls (it is not limited to scam calls)</w:t>
      </w:r>
      <w:r>
        <w:br/>
      </w:r>
    </w:p>
    <w:p w14:paraId="343A187A" w14:textId="77777777" w:rsidR="00F44418" w:rsidRDefault="00F44418" w:rsidP="00F44418">
      <w:pPr>
        <w:pStyle w:val="ListParagraph"/>
        <w:numPr>
          <w:ilvl w:val="0"/>
          <w:numId w:val="1"/>
        </w:numPr>
      </w:pPr>
      <w:r>
        <w:t>Definition of ATDS  -- Intro</w:t>
      </w:r>
    </w:p>
    <w:p w14:paraId="33C9D298" w14:textId="77777777" w:rsidR="00F44418" w:rsidRDefault="00F44418" w:rsidP="00F44418">
      <w:pPr>
        <w:pStyle w:val="ListParagraph"/>
        <w:numPr>
          <w:ilvl w:val="1"/>
          <w:numId w:val="1"/>
        </w:numPr>
      </w:pPr>
      <w:r>
        <w:t xml:space="preserve">Congress’s intention to cover evolving technologies </w:t>
      </w:r>
    </w:p>
    <w:p w14:paraId="60A0D5A0" w14:textId="77777777" w:rsidR="00F44418" w:rsidRDefault="00F44418" w:rsidP="00F44418">
      <w:pPr>
        <w:pStyle w:val="ListParagraph"/>
        <w:numPr>
          <w:ilvl w:val="1"/>
          <w:numId w:val="1"/>
        </w:numPr>
      </w:pPr>
      <w:r>
        <w:t>Must cover technologies actually being used</w:t>
      </w:r>
    </w:p>
    <w:p w14:paraId="1530551C" w14:textId="77777777" w:rsidR="00F44418" w:rsidRDefault="00F44418" w:rsidP="00F44418">
      <w:pPr>
        <w:pStyle w:val="ListParagraph"/>
        <w:numPr>
          <w:ilvl w:val="1"/>
          <w:numId w:val="1"/>
        </w:numPr>
      </w:pPr>
      <w:r>
        <w:t>Must not be capable of being easily evaded (consumer protection statutes, etc.)</w:t>
      </w:r>
    </w:p>
    <w:p w14:paraId="7A3DE1EB" w14:textId="430DFA43" w:rsidR="00F44418" w:rsidRDefault="00F44418" w:rsidP="00F44418">
      <w:pPr>
        <w:pStyle w:val="ListParagraph"/>
        <w:numPr>
          <w:ilvl w:val="1"/>
          <w:numId w:val="1"/>
        </w:numPr>
      </w:pPr>
      <w:r>
        <w:t>Must prevent unwanted calls and texts</w:t>
      </w:r>
    </w:p>
    <w:p w14:paraId="3310F0E7" w14:textId="77777777" w:rsidR="00F44418" w:rsidRDefault="00F44418" w:rsidP="00F44418"/>
    <w:p w14:paraId="2BF6A390" w14:textId="77777777" w:rsidR="00F44418" w:rsidRDefault="00F44418" w:rsidP="00F44418">
      <w:pPr>
        <w:pStyle w:val="ListParagraph"/>
        <w:numPr>
          <w:ilvl w:val="0"/>
          <w:numId w:val="1"/>
        </w:numPr>
      </w:pPr>
      <w:r>
        <w:t xml:space="preserve"> Necessity to cover text messages</w:t>
      </w:r>
    </w:p>
    <w:p w14:paraId="2FED9664" w14:textId="77777777" w:rsidR="00F44418" w:rsidRDefault="00F44418" w:rsidP="00F44418">
      <w:pPr>
        <w:pStyle w:val="ListParagraph"/>
        <w:numPr>
          <w:ilvl w:val="1"/>
          <w:numId w:val="1"/>
        </w:numPr>
      </w:pPr>
      <w:r>
        <w:t>Sheer numbers and horror stories – invasive and pervasive, getting worse</w:t>
      </w:r>
    </w:p>
    <w:p w14:paraId="48AF5451" w14:textId="77777777" w:rsidR="00F44418" w:rsidRDefault="00F44418" w:rsidP="00F44418">
      <w:pPr>
        <w:pStyle w:val="ListParagraph"/>
        <w:numPr>
          <w:ilvl w:val="1"/>
          <w:numId w:val="1"/>
        </w:numPr>
      </w:pPr>
      <w:r>
        <w:t xml:space="preserve">No other law covers </w:t>
      </w:r>
    </w:p>
    <w:p w14:paraId="0942870A" w14:textId="77777777" w:rsidR="00F44418" w:rsidRDefault="00F44418" w:rsidP="00F44418">
      <w:pPr>
        <w:pStyle w:val="ListParagraph"/>
        <w:numPr>
          <w:ilvl w:val="1"/>
          <w:numId w:val="1"/>
        </w:numPr>
      </w:pPr>
      <w:r>
        <w:t>Explicitly accepted by US Supreme Court (Campbell-Ewald)</w:t>
      </w:r>
      <w:r>
        <w:br/>
      </w:r>
    </w:p>
    <w:p w14:paraId="37EC71B3" w14:textId="77777777" w:rsidR="006C7972" w:rsidRDefault="00F44418" w:rsidP="006C7972">
      <w:pPr>
        <w:pStyle w:val="ListParagraph"/>
        <w:numPr>
          <w:ilvl w:val="0"/>
          <w:numId w:val="1"/>
        </w:numPr>
      </w:pPr>
      <w:r>
        <w:t>Defi</w:t>
      </w:r>
      <w:r w:rsidR="00C84973">
        <w:t>nition of ATDS should be broad:</w:t>
      </w:r>
    </w:p>
    <w:p w14:paraId="617D658B" w14:textId="710AD5CA" w:rsidR="00135799" w:rsidRDefault="00C84973" w:rsidP="002064E0">
      <w:pPr>
        <w:pStyle w:val="ListParagraph"/>
        <w:numPr>
          <w:ilvl w:val="1"/>
          <w:numId w:val="1"/>
        </w:numPr>
        <w:ind w:left="1512" w:right="432"/>
      </w:pPr>
      <w:r>
        <w:t>W</w:t>
      </w:r>
      <w:r w:rsidR="00F44418">
        <w:t xml:space="preserve">ith a carve-out for the ordinary use of a smart phone. Carve out should be based on </w:t>
      </w:r>
      <w:r w:rsidR="006C7972">
        <w:t xml:space="preserve">the “ordinary use” of the phone: </w:t>
      </w:r>
      <w:r w:rsidR="006C7972">
        <w:br/>
      </w:r>
      <w:r w:rsidR="006C7972">
        <w:br/>
      </w:r>
      <w:r w:rsidR="006C7972" w:rsidRPr="006C7972">
        <w:t>Equipment which otherwise meets the definition of an “automatic telephone dialing system” for purposes of section 227(b)(1)(A) does not include equipment that the caller shows is not customarily used by the caller to make large numbers of automated</w:t>
      </w:r>
      <w:r w:rsidR="006F510D">
        <w:t xml:space="preserve"> calls in short periods of time</w:t>
      </w:r>
      <w:r w:rsidR="002064E0">
        <w:t>.</w:t>
      </w:r>
      <w:r w:rsidR="00135799">
        <w:br/>
      </w:r>
    </w:p>
    <w:p w14:paraId="5843356A" w14:textId="4480B9C7" w:rsidR="00F44418" w:rsidRDefault="00135799" w:rsidP="00C84973">
      <w:pPr>
        <w:pStyle w:val="ListParagraph"/>
        <w:numPr>
          <w:ilvl w:val="1"/>
          <w:numId w:val="1"/>
        </w:numPr>
      </w:pPr>
      <w:r>
        <w:t xml:space="preserve">An interpretation of the statute that </w:t>
      </w:r>
      <w:r w:rsidR="00B259DF">
        <w:t xml:space="preserve">does not achieve the explicit intent of Congress to restrict unwanted calls that invade consumers’ privacy is </w:t>
      </w:r>
      <w:r w:rsidR="00C84973">
        <w:t>arbitrary and capricious.</w:t>
      </w:r>
      <w:r w:rsidR="00692E38">
        <w:t xml:space="preserve"> The Chamber’s proposed definition</w:t>
      </w:r>
      <w:r w:rsidR="00A5538F">
        <w:t xml:space="preserve"> of an ATDS covers no equipment in use.</w:t>
      </w:r>
      <w:r w:rsidR="00F44418">
        <w:br/>
      </w:r>
    </w:p>
    <w:p w14:paraId="256518D9" w14:textId="5DEBF712" w:rsidR="00F44418" w:rsidRDefault="00F44418" w:rsidP="00F44418">
      <w:pPr>
        <w:pStyle w:val="ListParagraph"/>
        <w:numPr>
          <w:ilvl w:val="0"/>
          <w:numId w:val="1"/>
        </w:numPr>
      </w:pPr>
      <w:r w:rsidRPr="001A1604">
        <w:rPr>
          <w:u w:val="single"/>
        </w:rPr>
        <w:t>Test</w:t>
      </w:r>
      <w:r>
        <w:t xml:space="preserve"> for appropriate definition must comply with</w:t>
      </w:r>
      <w:r w:rsidR="00E058B6">
        <w:t xml:space="preserve"> the</w:t>
      </w:r>
      <w:r>
        <w:t xml:space="preserve"> statutory construct allowing automated calls to be made </w:t>
      </w:r>
      <w:r>
        <w:rPr>
          <w:i/>
        </w:rPr>
        <w:t xml:space="preserve">with </w:t>
      </w:r>
      <w:r>
        <w:t xml:space="preserve">consent. </w:t>
      </w:r>
    </w:p>
    <w:p w14:paraId="2DA0051B" w14:textId="76ED2474" w:rsidR="00D3508D" w:rsidRDefault="002064E0" w:rsidP="000A4538">
      <w:pPr>
        <w:pStyle w:val="ListParagraph"/>
        <w:numPr>
          <w:ilvl w:val="1"/>
          <w:numId w:val="1"/>
        </w:numPr>
      </w:pPr>
      <w:r>
        <w:t xml:space="preserve">The statute </w:t>
      </w:r>
      <w:r w:rsidR="00760DDF">
        <w:t xml:space="preserve">permits calls </w:t>
      </w:r>
      <w:proofErr w:type="gramStart"/>
      <w:r w:rsidR="00760DDF">
        <w:t>using either</w:t>
      </w:r>
      <w:proofErr w:type="gramEnd"/>
      <w:r w:rsidR="00760DDF">
        <w:t xml:space="preserve"> a) prerecorded voice, b) artificial</w:t>
      </w:r>
      <w:r w:rsidR="00E058B6">
        <w:t xml:space="preserve"> voice, </w:t>
      </w:r>
      <w:r w:rsidR="0097288A">
        <w:t>or</w:t>
      </w:r>
      <w:r w:rsidR="00E058B6">
        <w:t xml:space="preserve"> c) </w:t>
      </w:r>
      <w:r w:rsidR="00210EDB">
        <w:t xml:space="preserve">an </w:t>
      </w:r>
      <w:r w:rsidR="00760DDF">
        <w:t>ATDS</w:t>
      </w:r>
      <w:r w:rsidR="00210EDB">
        <w:t>,</w:t>
      </w:r>
      <w:r w:rsidR="00760DDF">
        <w:t xml:space="preserve"> to be made if consent has been provided. </w:t>
      </w:r>
      <w:r w:rsidR="00D3508D">
        <w:t xml:space="preserve">If </w:t>
      </w:r>
      <w:r w:rsidR="002213F8">
        <w:t xml:space="preserve">Congress intended that </w:t>
      </w:r>
      <w:r w:rsidR="00D3508D">
        <w:t xml:space="preserve">calls made with an ATDS were </w:t>
      </w:r>
      <w:r w:rsidR="00210EDB">
        <w:t xml:space="preserve">to be </w:t>
      </w:r>
      <w:r w:rsidR="00D3508D">
        <w:t xml:space="preserve">outlawed, or only permitted for emergencies, the statute would have been constructed differently. </w:t>
      </w:r>
    </w:p>
    <w:p w14:paraId="5ED3D92B" w14:textId="340A5FF8" w:rsidR="00477EF2" w:rsidRDefault="00477EF2" w:rsidP="000A4538">
      <w:pPr>
        <w:pStyle w:val="ListParagraph"/>
        <w:numPr>
          <w:ilvl w:val="1"/>
          <w:numId w:val="1"/>
        </w:numPr>
      </w:pPr>
      <w:r>
        <w:t>The statute limits the calls</w:t>
      </w:r>
      <w:r w:rsidR="00210EDB">
        <w:t xml:space="preserve"> using these mechanisms</w:t>
      </w:r>
      <w:r>
        <w:t>;</w:t>
      </w:r>
      <w:r w:rsidR="002213F8">
        <w:t xml:space="preserve"> </w:t>
      </w:r>
      <w:r>
        <w:t>it does not prohibit them. And it treats ATDS, prerecorded and artificial voice calls the same.</w:t>
      </w:r>
    </w:p>
    <w:p w14:paraId="6CF9911E" w14:textId="44C3D1BB" w:rsidR="0046549F" w:rsidRDefault="0046549F" w:rsidP="000A4538">
      <w:pPr>
        <w:pStyle w:val="ListParagraph"/>
        <w:numPr>
          <w:ilvl w:val="1"/>
          <w:numId w:val="1"/>
        </w:numPr>
      </w:pPr>
      <w:r>
        <w:t xml:space="preserve">This means that any definition </w:t>
      </w:r>
      <w:r w:rsidR="00477EF2">
        <w:t xml:space="preserve">for an ATDS </w:t>
      </w:r>
      <w:r>
        <w:t xml:space="preserve">must </w:t>
      </w:r>
      <w:r w:rsidR="00477EF2">
        <w:t xml:space="preserve">provide </w:t>
      </w:r>
      <w:r w:rsidR="00960B22">
        <w:t xml:space="preserve">for </w:t>
      </w:r>
      <w:r>
        <w:t xml:space="preserve">a mechanism that would allow calls to be made using the defined autodialer </w:t>
      </w:r>
      <w:r w:rsidRPr="000A4538">
        <w:rPr>
          <w:i/>
        </w:rPr>
        <w:t>with</w:t>
      </w:r>
      <w:r>
        <w:t xml:space="preserve"> consent. The only way that this can be done is for the caller to have created a </w:t>
      </w:r>
      <w:r w:rsidRPr="000A4538">
        <w:rPr>
          <w:i/>
        </w:rPr>
        <w:t>list</w:t>
      </w:r>
      <w:r>
        <w:t xml:space="preserve"> of numbers </w:t>
      </w:r>
      <w:r w:rsidR="002931A5">
        <w:t xml:space="preserve">for which </w:t>
      </w:r>
      <w:r>
        <w:lastRenderedPageBreak/>
        <w:t xml:space="preserve">it has </w:t>
      </w:r>
      <w:proofErr w:type="gramStart"/>
      <w:r>
        <w:t>consent</w:t>
      </w:r>
      <w:proofErr w:type="gramEnd"/>
      <w:r>
        <w:t xml:space="preserve"> to call.  </w:t>
      </w:r>
      <w:r w:rsidR="002064E0">
        <w:br/>
      </w:r>
    </w:p>
    <w:p w14:paraId="1D1867E5" w14:textId="056C74A8" w:rsidR="00C80932" w:rsidRDefault="00BB4B6F" w:rsidP="00CB624D">
      <w:pPr>
        <w:pStyle w:val="ListParagraph"/>
        <w:numPr>
          <w:ilvl w:val="0"/>
          <w:numId w:val="1"/>
        </w:numPr>
      </w:pPr>
      <w:r>
        <w:rPr>
          <w:u w:val="single"/>
        </w:rPr>
        <w:t>Meaning of “sequential.”</w:t>
      </w:r>
      <w:r>
        <w:t xml:space="preserve"> </w:t>
      </w:r>
      <w:r w:rsidR="00EC635B">
        <w:t xml:space="preserve">A critical </w:t>
      </w:r>
      <w:r w:rsidR="006F510D">
        <w:t>issue is how the</w:t>
      </w:r>
      <w:r w:rsidR="00C80932">
        <w:t xml:space="preserve"> phrase</w:t>
      </w:r>
      <w:r w:rsidR="006F510D">
        <w:t xml:space="preserve"> “using a random or seque</w:t>
      </w:r>
      <w:r w:rsidR="00834B9C">
        <w:t>ntial number</w:t>
      </w:r>
      <w:r w:rsidR="00CB624D">
        <w:t xml:space="preserve"> generator” applies to a system.</w:t>
      </w:r>
      <w:r w:rsidR="00262B43">
        <w:t xml:space="preserve"> </w:t>
      </w:r>
    </w:p>
    <w:p w14:paraId="70ECB401" w14:textId="77777777" w:rsidR="00DB1E12" w:rsidRDefault="00262B43" w:rsidP="00C80932">
      <w:pPr>
        <w:pStyle w:val="ListParagraph"/>
        <w:numPr>
          <w:ilvl w:val="1"/>
          <w:numId w:val="1"/>
        </w:numPr>
      </w:pPr>
      <w:r>
        <w:t xml:space="preserve">If the word “sequential” is interpreted to mean </w:t>
      </w:r>
      <w:r w:rsidR="00EC635B">
        <w:t xml:space="preserve">only numbers in a numerical order, than applying the phrase to </w:t>
      </w:r>
      <w:r w:rsidR="00615076">
        <w:t xml:space="preserve">any part of the definition other than “produce” means that no system would </w:t>
      </w:r>
      <w:r w:rsidR="00C80932">
        <w:t xml:space="preserve">ever include </w:t>
      </w:r>
      <w:r w:rsidR="00DB1E12">
        <w:t>numbers for which there was consent.</w:t>
      </w:r>
    </w:p>
    <w:p w14:paraId="3698606E" w14:textId="5033AE60" w:rsidR="00CB624D" w:rsidRDefault="00DB1E12" w:rsidP="00C80932">
      <w:pPr>
        <w:pStyle w:val="ListParagraph"/>
        <w:numPr>
          <w:ilvl w:val="1"/>
          <w:numId w:val="1"/>
        </w:numPr>
      </w:pPr>
      <w:r>
        <w:t>Alternatively</w:t>
      </w:r>
      <w:r w:rsidR="0097288A">
        <w:t>,</w:t>
      </w:r>
      <w:r>
        <w:t xml:space="preserve"> interpreting “sequential” to mean </w:t>
      </w:r>
      <w:r w:rsidR="00C80932">
        <w:t xml:space="preserve">numbers </w:t>
      </w:r>
      <w:r>
        <w:t xml:space="preserve">to </w:t>
      </w:r>
      <w:r w:rsidR="00615076">
        <w:t xml:space="preserve">be </w:t>
      </w:r>
      <w:r w:rsidR="00491D3A">
        <w:t xml:space="preserve">“in a </w:t>
      </w:r>
      <w:r w:rsidR="002C6890">
        <w:t xml:space="preserve">sequence” or a “defined order,” would permit the </w:t>
      </w:r>
      <w:r w:rsidR="005B4D9D">
        <w:t>phrase to be applied and the system to make c</w:t>
      </w:r>
      <w:r w:rsidR="007F741B">
        <w:t>alls for which there is consent (see Paths 2 and 3).</w:t>
      </w:r>
      <w:r w:rsidR="00CB624D">
        <w:br/>
      </w:r>
    </w:p>
    <w:p w14:paraId="746C80CE" w14:textId="176F6C33" w:rsidR="000A4538" w:rsidRDefault="00CB624D" w:rsidP="00EB2FAB">
      <w:pPr>
        <w:pStyle w:val="ListParagraph"/>
        <w:numPr>
          <w:ilvl w:val="0"/>
          <w:numId w:val="1"/>
        </w:numPr>
      </w:pPr>
      <w:r w:rsidRPr="00CB624D">
        <w:rPr>
          <w:u w:val="single"/>
        </w:rPr>
        <w:t>Path 1.</w:t>
      </w:r>
      <w:r>
        <w:t xml:space="preserve"> </w:t>
      </w:r>
      <w:r w:rsidR="00834B9C" w:rsidRPr="00CB624D">
        <w:t>Simplest</w:t>
      </w:r>
      <w:r w:rsidR="00834B9C">
        <w:t xml:space="preserve"> read is that</w:t>
      </w:r>
      <w:r w:rsidR="003926B8">
        <w:t xml:space="preserve"> </w:t>
      </w:r>
      <w:r w:rsidR="00FA0283">
        <w:t xml:space="preserve">the phrase </w:t>
      </w:r>
      <w:r w:rsidR="00EB2FAB" w:rsidRPr="00EB2FAB">
        <w:t>using a random or sequential number generator” applies only to “produce,” not to “store.”</w:t>
      </w:r>
      <w:r w:rsidR="00155685">
        <w:t xml:space="preserve"> Thus a </w:t>
      </w:r>
      <w:r w:rsidR="000A4538">
        <w:t xml:space="preserve">dialer that “store[s] </w:t>
      </w:r>
      <w:r w:rsidR="00F927A4">
        <w:t>…</w:t>
      </w:r>
      <w:r w:rsidR="000A4538">
        <w:t xml:space="preserve"> numbers to be called … and dials such numbers” is an autodialer.  “Store” is an alternative requirement to “produce” in the statute.</w:t>
      </w:r>
    </w:p>
    <w:p w14:paraId="7207C0D7" w14:textId="77777777" w:rsidR="000D6ABD" w:rsidRDefault="000D6ABD" w:rsidP="00146E02">
      <w:pPr>
        <w:pStyle w:val="ListParagraph"/>
        <w:numPr>
          <w:ilvl w:val="1"/>
          <w:numId w:val="1"/>
        </w:numPr>
      </w:pPr>
      <w:r>
        <w:t>Generate means produce,</w:t>
      </w:r>
    </w:p>
    <w:p w14:paraId="5BB5FE2D" w14:textId="0E794AD7" w:rsidR="00CB624D" w:rsidRDefault="000D6ABD" w:rsidP="00146E02">
      <w:pPr>
        <w:pStyle w:val="ListParagraph"/>
        <w:numPr>
          <w:ilvl w:val="1"/>
          <w:numId w:val="1"/>
        </w:numPr>
      </w:pPr>
      <w:r>
        <w:t>“U</w:t>
      </w:r>
      <w:r w:rsidR="000A4538">
        <w:t xml:space="preserve">sing a random or sequential number generator” </w:t>
      </w:r>
      <w:r w:rsidR="00146E02">
        <w:t xml:space="preserve">only </w:t>
      </w:r>
      <w:r w:rsidR="000A4538">
        <w:t>modifies produce.</w:t>
      </w:r>
      <w:r w:rsidR="00155685">
        <w:br/>
      </w:r>
    </w:p>
    <w:p w14:paraId="1EF3A204" w14:textId="77777777" w:rsidR="00146E02" w:rsidRDefault="00CB624D" w:rsidP="00CB624D">
      <w:pPr>
        <w:pStyle w:val="ListParagraph"/>
        <w:numPr>
          <w:ilvl w:val="0"/>
          <w:numId w:val="1"/>
        </w:numPr>
      </w:pPr>
      <w:r>
        <w:rPr>
          <w:u w:val="single"/>
        </w:rPr>
        <w:t>Path 2.</w:t>
      </w:r>
      <w:r w:rsidR="00146E02">
        <w:t xml:space="preserve"> Alternatively, “using a random or sequential number generator” could be argued to modify “dial.”</w:t>
      </w:r>
    </w:p>
    <w:p w14:paraId="21FDC2DF" w14:textId="1ECAEB89" w:rsidR="00675925" w:rsidRDefault="00146E02" w:rsidP="00146E02">
      <w:pPr>
        <w:pStyle w:val="ListParagraph"/>
        <w:numPr>
          <w:ilvl w:val="1"/>
          <w:numId w:val="1"/>
        </w:numPr>
      </w:pPr>
      <w:r>
        <w:t xml:space="preserve">This would mean that </w:t>
      </w:r>
      <w:r w:rsidR="00675925">
        <w:t xml:space="preserve">numbers are dialed from a </w:t>
      </w:r>
      <w:r w:rsidR="00675925" w:rsidRPr="00675925">
        <w:rPr>
          <w:i/>
        </w:rPr>
        <w:t>stored</w:t>
      </w:r>
      <w:r w:rsidR="00675925">
        <w:t xml:space="preserve"> list in a random or sequential order.</w:t>
      </w:r>
    </w:p>
    <w:p w14:paraId="7E923A17" w14:textId="77777777" w:rsidR="00CC5959" w:rsidRDefault="00675925" w:rsidP="00146E02">
      <w:pPr>
        <w:pStyle w:val="ListParagraph"/>
        <w:numPr>
          <w:ilvl w:val="1"/>
          <w:numId w:val="1"/>
        </w:numPr>
      </w:pPr>
      <w:r>
        <w:t xml:space="preserve">Applying test: </w:t>
      </w:r>
    </w:p>
    <w:p w14:paraId="43E55E2D" w14:textId="4FCFA596" w:rsidR="00B030A3" w:rsidRDefault="00CC5959" w:rsidP="00CC5959">
      <w:pPr>
        <w:pStyle w:val="ListParagraph"/>
        <w:numPr>
          <w:ilvl w:val="2"/>
          <w:numId w:val="1"/>
        </w:numPr>
      </w:pPr>
      <w:r>
        <w:t xml:space="preserve">If numbers must be dialed randomly from those on a list, that would allow </w:t>
      </w:r>
      <w:r w:rsidR="00B030A3">
        <w:t xml:space="preserve">only </w:t>
      </w:r>
      <w:r>
        <w:t xml:space="preserve">numbers </w:t>
      </w:r>
      <w:r w:rsidR="00B030A3">
        <w:t>for which</w:t>
      </w:r>
      <w:r w:rsidR="00104A7F">
        <w:t xml:space="preserve"> there was consent to be called</w:t>
      </w:r>
      <w:r w:rsidR="00B030A3">
        <w:t xml:space="preserve"> to be put into the list.</w:t>
      </w:r>
    </w:p>
    <w:p w14:paraId="2F48D27D" w14:textId="77777777" w:rsidR="00C45ED3" w:rsidRDefault="00B030A3" w:rsidP="00CC5959">
      <w:pPr>
        <w:pStyle w:val="ListParagraph"/>
        <w:numPr>
          <w:ilvl w:val="2"/>
          <w:numId w:val="1"/>
        </w:numPr>
      </w:pPr>
      <w:r>
        <w:t xml:space="preserve">But, if the numbers on the </w:t>
      </w:r>
      <w:r w:rsidR="00C45ED3">
        <w:t>list were never called randomly, but only “sequentially” then the question is what does “sequentially” mean.</w:t>
      </w:r>
    </w:p>
    <w:p w14:paraId="29CC34E1" w14:textId="471BAE9B" w:rsidR="00413F28" w:rsidRDefault="00C45ED3" w:rsidP="00CC5959">
      <w:pPr>
        <w:pStyle w:val="ListParagraph"/>
        <w:numPr>
          <w:ilvl w:val="2"/>
          <w:numId w:val="1"/>
        </w:numPr>
      </w:pPr>
      <w:r>
        <w:t xml:space="preserve">If the numbers are stored on a list and dialed </w:t>
      </w:r>
      <w:r w:rsidRPr="00555EF7">
        <w:rPr>
          <w:u w:val="single"/>
        </w:rPr>
        <w:t xml:space="preserve">in the order the list </w:t>
      </w:r>
      <w:r w:rsidR="0089636D" w:rsidRPr="00555EF7">
        <w:rPr>
          <w:u w:val="single"/>
        </w:rPr>
        <w:t>dictates</w:t>
      </w:r>
      <w:r w:rsidR="0089636D">
        <w:t>, this is sequentially (the sequence is established by the list)</w:t>
      </w:r>
      <w:r w:rsidR="008F44EA">
        <w:t>. This would mean the term “sequential” is not limited to a numerical sequence.</w:t>
      </w:r>
      <w:r w:rsidR="00413F28">
        <w:br/>
      </w:r>
    </w:p>
    <w:p w14:paraId="520FB07D" w14:textId="029C66B0" w:rsidR="001A1604" w:rsidRPr="00C3773D" w:rsidRDefault="00413F28" w:rsidP="00413F28">
      <w:pPr>
        <w:pStyle w:val="ListParagraph"/>
        <w:numPr>
          <w:ilvl w:val="0"/>
          <w:numId w:val="1"/>
        </w:numPr>
      </w:pPr>
      <w:r w:rsidRPr="00C3773D">
        <w:rPr>
          <w:u w:val="single"/>
        </w:rPr>
        <w:t>Path 3.</w:t>
      </w:r>
      <w:r w:rsidRPr="00C3773D">
        <w:t xml:space="preserve"> </w:t>
      </w:r>
      <w:r w:rsidR="0037002D" w:rsidRPr="00C3773D">
        <w:t xml:space="preserve">Some have argued that the </w:t>
      </w:r>
      <w:r w:rsidR="00827EA2" w:rsidRPr="00C3773D">
        <w:t xml:space="preserve">numbers could be generated </w:t>
      </w:r>
      <w:r w:rsidRPr="00C3773D">
        <w:t xml:space="preserve">“using a random or sequential number generator” </w:t>
      </w:r>
      <w:r w:rsidR="00C10505">
        <w:t xml:space="preserve">and then stored </w:t>
      </w:r>
      <w:r w:rsidR="0061077A" w:rsidRPr="00C3773D">
        <w:t>(</w:t>
      </w:r>
      <w:r w:rsidR="00892B2A" w:rsidRPr="00C3773D">
        <w:t xml:space="preserve">we do not agree that this is </w:t>
      </w:r>
      <w:r w:rsidR="00C10505">
        <w:t xml:space="preserve">a </w:t>
      </w:r>
      <w:r w:rsidR="00892B2A" w:rsidRPr="00C3773D">
        <w:t>reasonable</w:t>
      </w:r>
      <w:r w:rsidR="00C10505">
        <w:t xml:space="preserve"> interpretation of the statute, because generated and stored </w:t>
      </w:r>
      <w:r w:rsidR="0097288A">
        <w:t>are</w:t>
      </w:r>
      <w:r w:rsidR="00C10505">
        <w:t xml:space="preserve"> conflicting activities</w:t>
      </w:r>
      <w:r w:rsidR="000848E3" w:rsidRPr="00C3773D">
        <w:t>).</w:t>
      </w:r>
      <w:r w:rsidR="00143051" w:rsidRPr="00C3773D">
        <w:t xml:space="preserve"> </w:t>
      </w:r>
    </w:p>
    <w:p w14:paraId="53D132CB" w14:textId="2C8D1791" w:rsidR="00E61EF8" w:rsidRPr="00C3773D" w:rsidRDefault="00143051" w:rsidP="001A1604">
      <w:pPr>
        <w:pStyle w:val="ListParagraph"/>
        <w:numPr>
          <w:ilvl w:val="1"/>
          <w:numId w:val="1"/>
        </w:numPr>
      </w:pPr>
      <w:r w:rsidRPr="00C3773D">
        <w:t xml:space="preserve">This would require that numbers stored </w:t>
      </w:r>
      <w:r w:rsidR="001A1604" w:rsidRPr="00C3773D">
        <w:t xml:space="preserve">(as well as produced) </w:t>
      </w:r>
      <w:r w:rsidRPr="00C3773D">
        <w:t>had been generated in a random or sequential way.</w:t>
      </w:r>
    </w:p>
    <w:p w14:paraId="0C0645A8" w14:textId="77777777" w:rsidR="00967B6F" w:rsidRPr="00C3773D" w:rsidRDefault="001A1604" w:rsidP="00E61EF8">
      <w:pPr>
        <w:pStyle w:val="ListParagraph"/>
        <w:numPr>
          <w:ilvl w:val="1"/>
          <w:numId w:val="1"/>
        </w:numPr>
      </w:pPr>
      <w:r w:rsidRPr="00C3773D">
        <w:t xml:space="preserve">Applying test: </w:t>
      </w:r>
    </w:p>
    <w:p w14:paraId="5359A795" w14:textId="14A93B1F" w:rsidR="005B1BA9" w:rsidRPr="00C3773D" w:rsidRDefault="000F46C4" w:rsidP="00967B6F">
      <w:pPr>
        <w:pStyle w:val="ListParagraph"/>
        <w:numPr>
          <w:ilvl w:val="2"/>
          <w:numId w:val="1"/>
        </w:numPr>
      </w:pPr>
      <w:r>
        <w:t>If the n</w:t>
      </w:r>
      <w:r w:rsidR="00555EF7" w:rsidRPr="00C3773D">
        <w:t xml:space="preserve">umbers </w:t>
      </w:r>
      <w:r>
        <w:t xml:space="preserve">were </w:t>
      </w:r>
      <w:r w:rsidR="00555EF7" w:rsidRPr="00C3773D">
        <w:t>generated randomly</w:t>
      </w:r>
      <w:r w:rsidR="00733907">
        <w:t xml:space="preserve">, </w:t>
      </w:r>
      <w:r w:rsidR="00555EF7" w:rsidRPr="00C3773D">
        <w:t xml:space="preserve">and </w:t>
      </w:r>
      <w:r>
        <w:t xml:space="preserve">then </w:t>
      </w:r>
      <w:r w:rsidR="00555EF7" w:rsidRPr="00C3773D">
        <w:t>stored</w:t>
      </w:r>
      <w:r w:rsidR="00733907">
        <w:t xml:space="preserve">, </w:t>
      </w:r>
      <w:r>
        <w:t xml:space="preserve">none </w:t>
      </w:r>
      <w:r w:rsidR="005B1BA9" w:rsidRPr="00C3773D">
        <w:t>would ever have consent.</w:t>
      </w:r>
    </w:p>
    <w:p w14:paraId="23D52CB5" w14:textId="0EF5F992" w:rsidR="005B1BA9" w:rsidRPr="00C3773D" w:rsidRDefault="000F46C4" w:rsidP="00967B6F">
      <w:pPr>
        <w:pStyle w:val="ListParagraph"/>
        <w:numPr>
          <w:ilvl w:val="2"/>
          <w:numId w:val="1"/>
        </w:numPr>
      </w:pPr>
      <w:r>
        <w:t>If the n</w:t>
      </w:r>
      <w:r w:rsidR="005B1BA9" w:rsidRPr="00C3773D">
        <w:t xml:space="preserve">umbers </w:t>
      </w:r>
      <w:r>
        <w:t xml:space="preserve">were </w:t>
      </w:r>
      <w:r w:rsidR="005B1BA9" w:rsidRPr="00C3773D">
        <w:t xml:space="preserve">generated in numerical order </w:t>
      </w:r>
      <w:r w:rsidR="00AA412A" w:rsidRPr="00C3773D">
        <w:t>(1, 2, 3)</w:t>
      </w:r>
      <w:r>
        <w:t xml:space="preserve"> and then stored, none</w:t>
      </w:r>
      <w:r w:rsidR="00AA412A" w:rsidRPr="00C3773D">
        <w:t xml:space="preserve"> </w:t>
      </w:r>
      <w:r>
        <w:t xml:space="preserve">would </w:t>
      </w:r>
      <w:r w:rsidR="005B1BA9" w:rsidRPr="00C3773D">
        <w:t>ever have consent.</w:t>
      </w:r>
    </w:p>
    <w:p w14:paraId="7216B333" w14:textId="72C186EB" w:rsidR="00767933" w:rsidRDefault="00733907" w:rsidP="00AA412A">
      <w:pPr>
        <w:pStyle w:val="ListParagraph"/>
        <w:numPr>
          <w:ilvl w:val="2"/>
          <w:numId w:val="1"/>
        </w:numPr>
      </w:pPr>
      <w:r>
        <w:t>However, if the n</w:t>
      </w:r>
      <w:r w:rsidR="005B1BA9" w:rsidRPr="00C3773D">
        <w:t xml:space="preserve">umbers </w:t>
      </w:r>
      <w:r>
        <w:t xml:space="preserve">were </w:t>
      </w:r>
      <w:r w:rsidR="005B1BA9" w:rsidRPr="00C3773D">
        <w:t>generated in an order set by the system (non-numerical)</w:t>
      </w:r>
      <w:r>
        <w:t xml:space="preserve"> but in a sequence</w:t>
      </w:r>
      <w:r w:rsidR="005B1BA9" w:rsidRPr="00C3773D">
        <w:t xml:space="preserve">, </w:t>
      </w:r>
      <w:r>
        <w:t xml:space="preserve">the system </w:t>
      </w:r>
      <w:r w:rsidR="008C2CD2" w:rsidRPr="00C3773D">
        <w:t>could include numbers for which there was consent.</w:t>
      </w:r>
      <w:r w:rsidR="008C2CD2">
        <w:t xml:space="preserve"> </w:t>
      </w:r>
      <w:r w:rsidR="005B1BA9">
        <w:t xml:space="preserve"> </w:t>
      </w:r>
      <w:r w:rsidR="00767933">
        <w:br/>
      </w:r>
    </w:p>
    <w:p w14:paraId="2E0AA40E" w14:textId="77777777" w:rsidR="0061181E" w:rsidRDefault="00767933" w:rsidP="00E058B6">
      <w:pPr>
        <w:pStyle w:val="ListParagraph"/>
        <w:numPr>
          <w:ilvl w:val="0"/>
          <w:numId w:val="1"/>
        </w:numPr>
      </w:pPr>
      <w:r>
        <w:rPr>
          <w:u w:val="single"/>
        </w:rPr>
        <w:t>Path 4</w:t>
      </w:r>
      <w:r>
        <w:t>. Capacity</w:t>
      </w:r>
      <w:r w:rsidR="00E058B6">
        <w:t>: Continue to use a broad definition of “capacity” that includes reasonable potential functionalities.</w:t>
      </w:r>
    </w:p>
    <w:p w14:paraId="4B9AF301" w14:textId="77777777" w:rsidR="0061181E" w:rsidRDefault="00E058B6" w:rsidP="0061181E">
      <w:pPr>
        <w:pStyle w:val="ListParagraph"/>
        <w:numPr>
          <w:ilvl w:val="1"/>
          <w:numId w:val="1"/>
        </w:numPr>
      </w:pPr>
      <w:r>
        <w:lastRenderedPageBreak/>
        <w:t>The breadth of the definition of “capacity” remains open: ACA International held that “it might be permissible” for the FCC to adopt either a broad or narrow interpretation of the term “capacity.”</w:t>
      </w:r>
    </w:p>
    <w:p w14:paraId="7538B54E" w14:textId="6AAD87FA" w:rsidR="00AA412A" w:rsidRDefault="00E058B6" w:rsidP="0061181E">
      <w:pPr>
        <w:pStyle w:val="ListParagraph"/>
        <w:numPr>
          <w:ilvl w:val="1"/>
          <w:numId w:val="1"/>
        </w:numPr>
      </w:pPr>
      <w:r>
        <w:t>If a broad definition of “capacity” is coupled with an explicit carve-out for the ordinary use of a smart phone, it will resolve the D.C. Circuit’s concerns.</w:t>
      </w:r>
      <w:r w:rsidR="0061181E">
        <w:br/>
      </w:r>
    </w:p>
    <w:p w14:paraId="23595336" w14:textId="6C5CAE3D" w:rsidR="00E42FAE" w:rsidRDefault="007416F4" w:rsidP="00AA412A">
      <w:pPr>
        <w:pStyle w:val="ListParagraph"/>
        <w:numPr>
          <w:ilvl w:val="0"/>
          <w:numId w:val="1"/>
        </w:numPr>
      </w:pPr>
      <w:r w:rsidRPr="00AA412A">
        <w:rPr>
          <w:u w:val="single"/>
        </w:rPr>
        <w:t>In sum</w:t>
      </w:r>
      <w:r w:rsidR="001D2886">
        <w:t xml:space="preserve">: </w:t>
      </w:r>
      <w:r w:rsidR="00262009">
        <w:t>four</w:t>
      </w:r>
      <w:r>
        <w:t xml:space="preserve"> ways to provide a comprehensive definition</w:t>
      </w:r>
      <w:r w:rsidR="00B171BC">
        <w:t xml:space="preserve"> that covers existing equipment and matches statutory construct for which there must be some way for calls made using an ATDS to have consent</w:t>
      </w:r>
      <w:r>
        <w:t xml:space="preserve">: </w:t>
      </w:r>
    </w:p>
    <w:p w14:paraId="44C4889F" w14:textId="58DF512C" w:rsidR="00E16FBC" w:rsidRDefault="00E016CE" w:rsidP="007C279E">
      <w:pPr>
        <w:pStyle w:val="ListParagraph"/>
        <w:numPr>
          <w:ilvl w:val="1"/>
          <w:numId w:val="1"/>
        </w:numPr>
      </w:pPr>
      <w:r>
        <w:t>T</w:t>
      </w:r>
      <w:r w:rsidR="007416F4">
        <w:t>o define ATDS simply ba</w:t>
      </w:r>
      <w:r w:rsidR="00E42FAE">
        <w:t>sed on “store” and “dial”; or</w:t>
      </w:r>
    </w:p>
    <w:p w14:paraId="26EDDD54" w14:textId="306094DA" w:rsidR="00E42FAE" w:rsidRDefault="00E016CE" w:rsidP="00E42FAE">
      <w:pPr>
        <w:pStyle w:val="ListParagraph"/>
        <w:numPr>
          <w:ilvl w:val="1"/>
          <w:numId w:val="1"/>
        </w:numPr>
      </w:pPr>
      <w:r>
        <w:t>T</w:t>
      </w:r>
      <w:r w:rsidR="00E42FAE" w:rsidRPr="00E16FBC">
        <w:t>o</w:t>
      </w:r>
      <w:r w:rsidR="007416F4" w:rsidRPr="00E16FBC">
        <w:t xml:space="preserve"> </w:t>
      </w:r>
      <w:r w:rsidR="007C279E" w:rsidRPr="00E16FBC">
        <w:t xml:space="preserve">interpret the word “sequential” to mean calling in a prescribed order, or sequence, rather just numerical and </w:t>
      </w:r>
      <w:r w:rsidR="007416F4">
        <w:t xml:space="preserve">apply the </w:t>
      </w:r>
      <w:r w:rsidR="000169A1">
        <w:t xml:space="preserve">language “using a random or sequential generator” to </w:t>
      </w:r>
      <w:r w:rsidR="001D2886">
        <w:t>the</w:t>
      </w:r>
      <w:r w:rsidR="000169A1">
        <w:t xml:space="preserve"> </w:t>
      </w:r>
      <w:r w:rsidR="00E42FAE" w:rsidRPr="00976798">
        <w:rPr>
          <w:u w:val="single"/>
        </w:rPr>
        <w:t xml:space="preserve">dialing </w:t>
      </w:r>
      <w:r w:rsidR="00E42FAE">
        <w:t>of the numbers stored</w:t>
      </w:r>
      <w:r w:rsidR="00CD64B4">
        <w:t xml:space="preserve"> previously stored</w:t>
      </w:r>
      <w:r w:rsidR="00852641">
        <w:t xml:space="preserve">; </w:t>
      </w:r>
    </w:p>
    <w:p w14:paraId="35735117" w14:textId="06F2AC3A" w:rsidR="00976798" w:rsidRDefault="00E016CE" w:rsidP="00E42FAE">
      <w:pPr>
        <w:pStyle w:val="ListParagraph"/>
        <w:numPr>
          <w:ilvl w:val="1"/>
          <w:numId w:val="1"/>
        </w:numPr>
      </w:pPr>
      <w:r>
        <w:t>T</w:t>
      </w:r>
      <w:r w:rsidR="00976798" w:rsidRPr="00E16FBC">
        <w:t>o interpret the word “sequential” to mea</w:t>
      </w:r>
      <w:r w:rsidR="00704486">
        <w:t>n calling in a prescribed order</w:t>
      </w:r>
      <w:r w:rsidR="00976798" w:rsidRPr="00E16FBC">
        <w:t xml:space="preserve"> or sequence, rather just </w:t>
      </w:r>
      <w:r w:rsidR="00704486">
        <w:t>“</w:t>
      </w:r>
      <w:r w:rsidR="00976798" w:rsidRPr="00E16FBC">
        <w:t>numerical</w:t>
      </w:r>
      <w:r w:rsidR="00704486">
        <w:t>”</w:t>
      </w:r>
      <w:r w:rsidR="00976798" w:rsidRPr="00E16FBC">
        <w:t xml:space="preserve"> and </w:t>
      </w:r>
      <w:r w:rsidR="00704486">
        <w:t xml:space="preserve">to </w:t>
      </w:r>
      <w:r w:rsidR="00976798">
        <w:t xml:space="preserve">apply the language “using a random or sequential generator” to the </w:t>
      </w:r>
      <w:r w:rsidR="00976798" w:rsidRPr="00976798">
        <w:rPr>
          <w:u w:val="single"/>
        </w:rPr>
        <w:t xml:space="preserve">dialing </w:t>
      </w:r>
      <w:r w:rsidR="00976798">
        <w:t>of the numbers stored previously</w:t>
      </w:r>
      <w:r>
        <w:t>.</w:t>
      </w:r>
      <w:r w:rsidR="00976798">
        <w:t xml:space="preserve"> </w:t>
      </w:r>
    </w:p>
    <w:p w14:paraId="2E6E7E27" w14:textId="59A600BA" w:rsidR="00660A60" w:rsidRPr="0031001C" w:rsidRDefault="00976798" w:rsidP="00E42FAE">
      <w:pPr>
        <w:pStyle w:val="ListParagraph"/>
        <w:numPr>
          <w:ilvl w:val="1"/>
          <w:numId w:val="1"/>
        </w:numPr>
      </w:pPr>
      <w:r>
        <w:t xml:space="preserve">Any system that has the reasonable potential </w:t>
      </w:r>
      <w:r w:rsidR="003C1FBC">
        <w:t xml:space="preserve">functionality (i.e. the </w:t>
      </w:r>
      <w:r w:rsidR="003C1FBC" w:rsidRPr="008B399F">
        <w:rPr>
          <w:u w:val="single"/>
        </w:rPr>
        <w:t>capacity</w:t>
      </w:r>
      <w:r w:rsidR="003C1FBC">
        <w:t xml:space="preserve">) to be a system </w:t>
      </w:r>
      <w:r w:rsidR="008B399F">
        <w:t xml:space="preserve">described in </w:t>
      </w:r>
      <w:r w:rsidR="003C1FBC">
        <w:t>a, b or c.</w:t>
      </w:r>
      <w:r w:rsidR="00F44418" w:rsidRPr="0031001C">
        <w:br/>
      </w:r>
    </w:p>
    <w:p w14:paraId="1DF7128F" w14:textId="5746CAFF" w:rsidR="00F44418" w:rsidRDefault="00F213C0" w:rsidP="00F44418">
      <w:pPr>
        <w:pStyle w:val="ListParagraph"/>
        <w:numPr>
          <w:ilvl w:val="0"/>
          <w:numId w:val="1"/>
        </w:numPr>
      </w:pPr>
      <w:r>
        <w:t xml:space="preserve">In support of </w:t>
      </w:r>
      <w:r w:rsidR="0061181E">
        <w:t>Path 1—</w:t>
      </w:r>
      <w:r>
        <w:t>simply requiring store and dial: note that “s</w:t>
      </w:r>
      <w:r w:rsidR="00F44418">
        <w:t>tore” is an alternative requirement to “produce”</w:t>
      </w:r>
      <w:r>
        <w:t xml:space="preserve"> in the statute.</w:t>
      </w:r>
    </w:p>
    <w:p w14:paraId="2A8FCAE5" w14:textId="77777777" w:rsidR="00F44418" w:rsidRDefault="00F44418" w:rsidP="00F44418">
      <w:pPr>
        <w:pStyle w:val="ListParagraph"/>
        <w:numPr>
          <w:ilvl w:val="1"/>
          <w:numId w:val="1"/>
        </w:numPr>
      </w:pPr>
      <w:r>
        <w:t>Generate means produce, and “using a random or sequential number generator” modifies produce</w:t>
      </w:r>
      <w:r w:rsidR="009D73CE">
        <w:t>.</w:t>
      </w:r>
    </w:p>
    <w:p w14:paraId="69678FF3" w14:textId="77777777" w:rsidR="00F44418" w:rsidRDefault="00F44418" w:rsidP="00F44418">
      <w:pPr>
        <w:pStyle w:val="ListParagraph"/>
        <w:numPr>
          <w:ilvl w:val="1"/>
          <w:numId w:val="1"/>
        </w:numPr>
      </w:pPr>
      <w:r>
        <w:t>Last antecedent rule</w:t>
      </w:r>
      <w:r w:rsidR="009D73CE">
        <w:t>.</w:t>
      </w:r>
    </w:p>
    <w:p w14:paraId="38F351E4" w14:textId="682E1B7B" w:rsidR="00F44418" w:rsidRDefault="00F44418" w:rsidP="009635D4">
      <w:pPr>
        <w:pStyle w:val="ListParagraph"/>
        <w:numPr>
          <w:ilvl w:val="1"/>
          <w:numId w:val="1"/>
        </w:numPr>
      </w:pPr>
      <w:r>
        <w:t xml:space="preserve">In sync with </w:t>
      </w:r>
      <w:r w:rsidR="00D31F5D">
        <w:t xml:space="preserve">the FCC’s </w:t>
      </w:r>
      <w:r>
        <w:t>2003, 2008 and 2012 orders</w:t>
      </w:r>
      <w:r w:rsidR="00D31F5D">
        <w:t>.</w:t>
      </w:r>
      <w:r>
        <w:t xml:space="preserve"> </w:t>
      </w:r>
      <w:r w:rsidR="00D31F5D">
        <w:br/>
      </w:r>
    </w:p>
    <w:p w14:paraId="699974A9" w14:textId="77777777" w:rsidR="00680EB7" w:rsidRDefault="00F44418" w:rsidP="00F44418">
      <w:pPr>
        <w:pStyle w:val="ListParagraph"/>
        <w:numPr>
          <w:ilvl w:val="0"/>
          <w:numId w:val="1"/>
        </w:numPr>
      </w:pPr>
      <w:r>
        <w:t>Human intervention is an FCC term</w:t>
      </w:r>
      <w:proofErr w:type="gramStart"/>
      <w:r>
        <w:t>;</w:t>
      </w:r>
      <w:proofErr w:type="gramEnd"/>
      <w:r>
        <w:t xml:space="preserve"> </w:t>
      </w:r>
      <w:r w:rsidR="00CD70A9">
        <w:t xml:space="preserve">and it is has been confused by the courts. </w:t>
      </w:r>
    </w:p>
    <w:p w14:paraId="3F1D799F" w14:textId="77777777" w:rsidR="00680EB7" w:rsidRDefault="00CD70A9" w:rsidP="00680EB7">
      <w:pPr>
        <w:pStyle w:val="ListParagraph"/>
        <w:numPr>
          <w:ilvl w:val="1"/>
          <w:numId w:val="1"/>
        </w:numPr>
      </w:pPr>
      <w:r>
        <w:t>Some courts have held that any creation of a list is sufficient human interventi</w:t>
      </w:r>
      <w:r w:rsidR="009C3270">
        <w:t xml:space="preserve">on to defeat a finding of ATDS. </w:t>
      </w:r>
      <w:r>
        <w:t xml:space="preserve">The industry uses the concept to create </w:t>
      </w:r>
      <w:r w:rsidR="009C3270">
        <w:t xml:space="preserve">dialing </w:t>
      </w:r>
      <w:proofErr w:type="gramStart"/>
      <w:r w:rsidR="009C3270">
        <w:t>systems which</w:t>
      </w:r>
      <w:proofErr w:type="gramEnd"/>
      <w:r w:rsidR="009C3270">
        <w:t xml:space="preserve"> are clearly automated but have some human involvement in the dialing process as a way of evading coverage. </w:t>
      </w:r>
      <w:r w:rsidR="00F44418">
        <w:t>The cases ar</w:t>
      </w:r>
      <w:r w:rsidR="00950444">
        <w:t xml:space="preserve">e all over the place (see # 3). </w:t>
      </w:r>
    </w:p>
    <w:p w14:paraId="68CF96C3" w14:textId="77777777" w:rsidR="00680EB7" w:rsidRDefault="00950444" w:rsidP="00680EB7">
      <w:pPr>
        <w:pStyle w:val="ListParagraph"/>
        <w:numPr>
          <w:ilvl w:val="1"/>
          <w:numId w:val="1"/>
        </w:numPr>
      </w:pPr>
      <w:r>
        <w:t xml:space="preserve">The FCC should articulate that </w:t>
      </w:r>
      <w:r w:rsidR="00F44418">
        <w:t xml:space="preserve">deliberate efforts to evade </w:t>
      </w:r>
      <w:r>
        <w:t xml:space="preserve">the statute </w:t>
      </w:r>
      <w:r w:rsidR="00F44418">
        <w:t>(such as click dialing – with 2 humans involved</w:t>
      </w:r>
      <w:r>
        <w:t xml:space="preserve">) are not sufficient human intervention to avoid coverage. </w:t>
      </w:r>
    </w:p>
    <w:p w14:paraId="7ED7940C" w14:textId="3799A9C8" w:rsidR="00F44418" w:rsidRDefault="00680EB7" w:rsidP="00680EB7">
      <w:pPr>
        <w:pStyle w:val="ListParagraph"/>
        <w:numPr>
          <w:ilvl w:val="1"/>
          <w:numId w:val="1"/>
        </w:numPr>
      </w:pPr>
      <w:r>
        <w:t xml:space="preserve">The test </w:t>
      </w:r>
      <w:r w:rsidR="00CB2375">
        <w:t xml:space="preserve">for avoiding coverage based on human intervention </w:t>
      </w:r>
      <w:r>
        <w:t xml:space="preserve">should be whether one human agent is both </w:t>
      </w:r>
      <w:r w:rsidRPr="00CB2375">
        <w:rPr>
          <w:u w:val="single"/>
        </w:rPr>
        <w:t>dialing</w:t>
      </w:r>
      <w:r w:rsidR="00CB2375">
        <w:t xml:space="preserve"> (or pressing the dial/connect button)</w:t>
      </w:r>
      <w:r>
        <w:t xml:space="preserve"> and directly </w:t>
      </w:r>
      <w:r w:rsidRPr="00CB2375">
        <w:rPr>
          <w:u w:val="single"/>
        </w:rPr>
        <w:t>engaging</w:t>
      </w:r>
      <w:r>
        <w:t xml:space="preserve"> with the called party.</w:t>
      </w:r>
      <w:r w:rsidR="00F44418">
        <w:br/>
      </w:r>
    </w:p>
    <w:p w14:paraId="78CF4382" w14:textId="77777777" w:rsidR="00923FDE" w:rsidRDefault="00315B6F" w:rsidP="00923FDE">
      <w:pPr>
        <w:pStyle w:val="ListParagraph"/>
        <w:numPr>
          <w:ilvl w:val="0"/>
          <w:numId w:val="1"/>
        </w:numPr>
      </w:pPr>
      <w:r w:rsidRPr="00315B6F">
        <w:t>The statutory prohibition is against making calls </w:t>
      </w:r>
      <w:r w:rsidRPr="00315B6F">
        <w:rPr>
          <w:u w:val="single"/>
        </w:rPr>
        <w:t>using ATDS equipmen</w:t>
      </w:r>
      <w:r w:rsidRPr="00315B6F">
        <w:t>t, not against making calls using the equipment's autodialing feature</w:t>
      </w:r>
    </w:p>
    <w:p w14:paraId="39EFD966" w14:textId="77777777" w:rsidR="00923FDE" w:rsidRDefault="00F44418" w:rsidP="00923FDE">
      <w:pPr>
        <w:pStyle w:val="ListParagraph"/>
        <w:numPr>
          <w:ilvl w:val="1"/>
          <w:numId w:val="1"/>
        </w:numPr>
      </w:pPr>
      <w:r>
        <w:t xml:space="preserve">Industry’s position </w:t>
      </w:r>
      <w:r w:rsidR="00B53EA8">
        <w:t xml:space="preserve">requiring that the statute only </w:t>
      </w:r>
      <w:proofErr w:type="gramStart"/>
      <w:r w:rsidR="00B53EA8">
        <w:t>covers</w:t>
      </w:r>
      <w:proofErr w:type="gramEnd"/>
      <w:r w:rsidR="00B53EA8">
        <w:t xml:space="preserve"> calls using the ATDS functionality of the system </w:t>
      </w:r>
      <w:r w:rsidR="001305CB">
        <w:t xml:space="preserve">to make the call </w:t>
      </w:r>
      <w:r>
        <w:t>cannot be reconciled with statutory construction</w:t>
      </w:r>
      <w:r w:rsidR="00B53EA8">
        <w:t>.</w:t>
      </w:r>
    </w:p>
    <w:p w14:paraId="33CEF8DB" w14:textId="4D1A5D52" w:rsidR="00923FDE" w:rsidRDefault="00923FDE" w:rsidP="00923FDE">
      <w:pPr>
        <w:pStyle w:val="ListParagraph"/>
        <w:numPr>
          <w:ilvl w:val="1"/>
          <w:numId w:val="1"/>
        </w:numPr>
      </w:pPr>
      <w:r>
        <w:t>I</w:t>
      </w:r>
      <w:r w:rsidR="00F44418">
        <w:t xml:space="preserve">mpossible to prove how </w:t>
      </w:r>
      <w:r w:rsidR="00E5134E">
        <w:t>a call was made—</w:t>
      </w:r>
      <w:r w:rsidR="00F44418">
        <w:t>which undermines the clear intent of Congress to make this statute privately enforceable.</w:t>
      </w:r>
      <w:r>
        <w:br/>
      </w:r>
      <w:r>
        <w:br/>
      </w:r>
    </w:p>
    <w:p w14:paraId="5525B184" w14:textId="77777777" w:rsidR="00923FDE" w:rsidRDefault="00923FDE" w:rsidP="00923FDE">
      <w:pPr>
        <w:pStyle w:val="ListParagraph"/>
        <w:numPr>
          <w:ilvl w:val="0"/>
          <w:numId w:val="1"/>
        </w:numPr>
      </w:pPr>
      <w:r>
        <w:rPr>
          <w:b/>
        </w:rPr>
        <w:lastRenderedPageBreak/>
        <w:t xml:space="preserve">Reassigned Numbers. </w:t>
      </w:r>
      <w:r w:rsidR="0083463F">
        <w:t xml:space="preserve">We strongly support the reassigned number database – as it will allow </w:t>
      </w:r>
      <w:r w:rsidR="00110335">
        <w:t>law-abiding callers to avoid calling the wrong parties.</w:t>
      </w:r>
    </w:p>
    <w:p w14:paraId="2819BB90" w14:textId="77777777" w:rsidR="00923FDE" w:rsidRDefault="0083463F" w:rsidP="00923FDE">
      <w:pPr>
        <w:pStyle w:val="ListParagraph"/>
        <w:numPr>
          <w:ilvl w:val="1"/>
          <w:numId w:val="1"/>
        </w:numPr>
      </w:pPr>
      <w:r>
        <w:t>But, a</w:t>
      </w:r>
      <w:r w:rsidR="00F44418">
        <w:t xml:space="preserve">llowing intended recipient to be considered the called party would mean that called parties could never stop calls. </w:t>
      </w:r>
    </w:p>
    <w:p w14:paraId="303DDB02" w14:textId="77777777" w:rsidR="00923FDE" w:rsidRDefault="00F44418" w:rsidP="00923FDE">
      <w:pPr>
        <w:pStyle w:val="ListParagraph"/>
        <w:numPr>
          <w:ilvl w:val="1"/>
          <w:numId w:val="1"/>
        </w:numPr>
      </w:pPr>
      <w:r>
        <w:t>For reassigned number calls to be stopped, there must be incentives to use database. If called party is considered intended recipient, no reason to use the database.</w:t>
      </w:r>
    </w:p>
    <w:p w14:paraId="26B83EAB" w14:textId="77777777" w:rsidR="00001395" w:rsidRDefault="00F44418" w:rsidP="00001395">
      <w:pPr>
        <w:pStyle w:val="ListParagraph"/>
        <w:numPr>
          <w:ilvl w:val="1"/>
          <w:numId w:val="1"/>
        </w:numPr>
      </w:pPr>
      <w:r>
        <w:t xml:space="preserve">Safe harbor for database </w:t>
      </w:r>
    </w:p>
    <w:p w14:paraId="54772AE4" w14:textId="77777777" w:rsidR="00001395" w:rsidRDefault="00F44418" w:rsidP="00001395">
      <w:pPr>
        <w:pStyle w:val="ListParagraph"/>
        <w:numPr>
          <w:ilvl w:val="2"/>
          <w:numId w:val="1"/>
        </w:numPr>
      </w:pPr>
      <w:proofErr w:type="gramStart"/>
      <w:r>
        <w:t>Must be narrowly tailored to only be allowed</w:t>
      </w:r>
      <w:proofErr w:type="gramEnd"/>
      <w:r>
        <w:t xml:space="preserve"> if the database made a mistake, and caller otherwise complied with the TCPA.</w:t>
      </w:r>
    </w:p>
    <w:p w14:paraId="0E1C41F8" w14:textId="77777777" w:rsidR="00001395" w:rsidRDefault="00F44418" w:rsidP="00001395">
      <w:pPr>
        <w:pStyle w:val="ListParagraph"/>
        <w:numPr>
          <w:ilvl w:val="2"/>
          <w:numId w:val="1"/>
        </w:numPr>
      </w:pPr>
      <w:r>
        <w:t xml:space="preserve">What is the statutory justification for safe </w:t>
      </w:r>
      <w:proofErr w:type="gramStart"/>
      <w:r>
        <w:t>harbor.</w:t>
      </w:r>
      <w:proofErr w:type="gramEnd"/>
    </w:p>
    <w:p w14:paraId="2E4C90F0" w14:textId="77777777" w:rsidR="00001395" w:rsidRDefault="00F44418" w:rsidP="00001395">
      <w:pPr>
        <w:pStyle w:val="ListParagraph"/>
        <w:numPr>
          <w:ilvl w:val="1"/>
          <w:numId w:val="1"/>
        </w:numPr>
      </w:pPr>
      <w:r>
        <w:t>Reasonable reliance standard does not change these dynamics—</w:t>
      </w:r>
    </w:p>
    <w:p w14:paraId="603FFD35" w14:textId="77777777" w:rsidR="00001395" w:rsidRDefault="00F44418" w:rsidP="00001395">
      <w:pPr>
        <w:pStyle w:val="ListParagraph"/>
        <w:numPr>
          <w:ilvl w:val="2"/>
          <w:numId w:val="1"/>
        </w:numPr>
      </w:pPr>
      <w:r>
        <w:t>If database is available and not used, or not used correctly, then reliance is not reasonable.</w:t>
      </w:r>
    </w:p>
    <w:p w14:paraId="4DE9C2F8" w14:textId="65A3ED5D" w:rsidR="00001395" w:rsidRPr="00001395" w:rsidRDefault="00F44418" w:rsidP="00001395">
      <w:pPr>
        <w:pStyle w:val="ListParagraph"/>
        <w:numPr>
          <w:ilvl w:val="2"/>
          <w:numId w:val="1"/>
        </w:numPr>
      </w:pPr>
      <w:r>
        <w:t>What is the statutory justification f</w:t>
      </w:r>
      <w:r w:rsidR="00001395">
        <w:t>or reasonable reliance standard</w:t>
      </w:r>
      <w:r w:rsidR="00E1597A">
        <w:br/>
      </w:r>
    </w:p>
    <w:p w14:paraId="0B185282" w14:textId="77777777" w:rsidR="00001395" w:rsidRPr="00E1597A" w:rsidRDefault="00F44418" w:rsidP="00001395">
      <w:pPr>
        <w:pStyle w:val="ListParagraph"/>
        <w:numPr>
          <w:ilvl w:val="0"/>
          <w:numId w:val="1"/>
        </w:numPr>
      </w:pPr>
      <w:r w:rsidRPr="00E1597A">
        <w:rPr>
          <w:b/>
        </w:rPr>
        <w:t>Revocation of consent</w:t>
      </w:r>
      <w:r w:rsidR="00001395" w:rsidRPr="00E1597A">
        <w:rPr>
          <w:b/>
        </w:rPr>
        <w:t xml:space="preserve"> </w:t>
      </w:r>
    </w:p>
    <w:p w14:paraId="650C00F5" w14:textId="77777777" w:rsidR="00E1597A" w:rsidRPr="00E1597A" w:rsidRDefault="00F44418" w:rsidP="00E1597A">
      <w:pPr>
        <w:pStyle w:val="ListParagraph"/>
        <w:numPr>
          <w:ilvl w:val="1"/>
          <w:numId w:val="1"/>
        </w:numPr>
      </w:pPr>
      <w:r w:rsidRPr="00E1597A">
        <w:rPr>
          <w:i/>
        </w:rPr>
        <w:t>Most consents are provided in a contractual context</w:t>
      </w:r>
    </w:p>
    <w:p w14:paraId="4AC3005D" w14:textId="77777777" w:rsidR="00E1597A" w:rsidRPr="00E1597A" w:rsidRDefault="00F44418" w:rsidP="00E1597A">
      <w:pPr>
        <w:pStyle w:val="ListParagraph"/>
        <w:numPr>
          <w:ilvl w:val="1"/>
          <w:numId w:val="1"/>
        </w:numPr>
      </w:pPr>
      <w:r w:rsidRPr="00E1597A">
        <w:t xml:space="preserve">If the FCC does not reaffirm right to revoke consent when consent granted in a contract, consent becomes meaningless. </w:t>
      </w:r>
    </w:p>
    <w:p w14:paraId="4840E23F" w14:textId="7FA49546" w:rsidR="00E1597A" w:rsidRPr="00E1597A" w:rsidRDefault="00F44418" w:rsidP="00E1597A">
      <w:pPr>
        <w:pStyle w:val="ListParagraph"/>
        <w:numPr>
          <w:ilvl w:val="1"/>
          <w:numId w:val="1"/>
        </w:numPr>
      </w:pPr>
      <w:r w:rsidRPr="00E1597A">
        <w:t>Methods must be reasonable – but FCC ca</w:t>
      </w:r>
      <w:r w:rsidR="00E1597A" w:rsidRPr="00E1597A">
        <w:t>n define, can set the standard.</w:t>
      </w:r>
      <w:r w:rsidR="00E1597A">
        <w:br/>
      </w:r>
    </w:p>
    <w:p w14:paraId="6BBD028B" w14:textId="77777777" w:rsidR="00E1597A" w:rsidRPr="00E1597A" w:rsidRDefault="00F44418" w:rsidP="00E1597A">
      <w:pPr>
        <w:pStyle w:val="ListParagraph"/>
        <w:numPr>
          <w:ilvl w:val="0"/>
          <w:numId w:val="1"/>
        </w:numPr>
      </w:pPr>
      <w:r w:rsidRPr="00E1597A">
        <w:rPr>
          <w:b/>
        </w:rPr>
        <w:t xml:space="preserve">Debt Collection </w:t>
      </w:r>
      <w:r w:rsidR="00E1597A">
        <w:rPr>
          <w:b/>
        </w:rPr>
        <w:t>rules</w:t>
      </w:r>
    </w:p>
    <w:p w14:paraId="0D62A251" w14:textId="77777777" w:rsidR="00E1597A" w:rsidRDefault="00F44418" w:rsidP="00E1597A">
      <w:pPr>
        <w:pStyle w:val="ListParagraph"/>
        <w:numPr>
          <w:ilvl w:val="1"/>
          <w:numId w:val="1"/>
        </w:numPr>
      </w:pPr>
      <w:r w:rsidRPr="00E1597A">
        <w:t>Huge area of abuse (for public and private student debts)</w:t>
      </w:r>
    </w:p>
    <w:p w14:paraId="2DFE83F0" w14:textId="77777777" w:rsidR="00E1597A" w:rsidRDefault="00F44418" w:rsidP="00E1597A">
      <w:pPr>
        <w:pStyle w:val="ListParagraph"/>
        <w:numPr>
          <w:ilvl w:val="1"/>
          <w:numId w:val="1"/>
        </w:numPr>
      </w:pPr>
      <w:r w:rsidRPr="00E1597A">
        <w:t>Some reasonable limits</w:t>
      </w:r>
      <w:r>
        <w:t xml:space="preserve"> must be imposed</w:t>
      </w:r>
    </w:p>
    <w:p w14:paraId="55EA19E7" w14:textId="6AC65043" w:rsidR="00E1597A" w:rsidRDefault="00116E5A" w:rsidP="00E1597A">
      <w:pPr>
        <w:pStyle w:val="ListParagraph"/>
        <w:numPr>
          <w:ilvl w:val="2"/>
          <w:numId w:val="1"/>
        </w:numPr>
      </w:pPr>
      <w:r>
        <w:t>C</w:t>
      </w:r>
      <w:r w:rsidR="00F44418">
        <w:t>lear right to stop calls with notice</w:t>
      </w:r>
    </w:p>
    <w:p w14:paraId="10A08C1C" w14:textId="77777777" w:rsidR="00E1597A" w:rsidRDefault="00F44418" w:rsidP="00E1597A">
      <w:pPr>
        <w:pStyle w:val="ListParagraph"/>
        <w:numPr>
          <w:ilvl w:val="2"/>
          <w:numId w:val="1"/>
        </w:numPr>
      </w:pPr>
      <w:r>
        <w:t>Simpler the better</w:t>
      </w:r>
    </w:p>
    <w:p w14:paraId="4A43AFA4" w14:textId="5DED3E09" w:rsidR="00116E5A" w:rsidRDefault="00F44418" w:rsidP="00116E5A">
      <w:pPr>
        <w:pStyle w:val="ListParagraph"/>
        <w:numPr>
          <w:ilvl w:val="2"/>
          <w:numId w:val="1"/>
        </w:numPr>
      </w:pPr>
      <w:r>
        <w:t>Something must be adopted ASAP.</w:t>
      </w:r>
      <w:r w:rsidR="00116E5A">
        <w:br/>
      </w:r>
    </w:p>
    <w:p w14:paraId="40E2EA8C" w14:textId="77777777" w:rsidR="00116E5A" w:rsidRDefault="00F44418" w:rsidP="00116E5A">
      <w:pPr>
        <w:pStyle w:val="ListParagraph"/>
        <w:numPr>
          <w:ilvl w:val="0"/>
          <w:numId w:val="1"/>
        </w:numPr>
      </w:pPr>
      <w:r w:rsidRPr="00116E5A">
        <w:rPr>
          <w:b/>
        </w:rPr>
        <w:t>Broadnet</w:t>
      </w:r>
    </w:p>
    <w:p w14:paraId="0D30B085" w14:textId="77777777" w:rsidR="00116E5A" w:rsidRDefault="00F44418" w:rsidP="00116E5A">
      <w:pPr>
        <w:pStyle w:val="ListParagraph"/>
        <w:numPr>
          <w:ilvl w:val="1"/>
          <w:numId w:val="1"/>
        </w:numPr>
      </w:pPr>
      <w:r>
        <w:t>Redo – clarify (as has been done previously) that the providers of the technology is not liable for TCPA violations, only the callers are (that will take care of Congressional push)</w:t>
      </w:r>
    </w:p>
    <w:p w14:paraId="4DDD4574" w14:textId="77777777" w:rsidR="00116E5A" w:rsidRDefault="00F44418" w:rsidP="00116E5A">
      <w:pPr>
        <w:pStyle w:val="ListParagraph"/>
        <w:numPr>
          <w:ilvl w:val="1"/>
          <w:numId w:val="1"/>
        </w:numPr>
      </w:pPr>
      <w:r>
        <w:t>Allow exceptions for FTEU calls (market will be there, technology will follow), closely limited in number, time and content, as well as right to stop future</w:t>
      </w:r>
    </w:p>
    <w:p w14:paraId="70C20496" w14:textId="3D94985D" w:rsidR="00C3278E" w:rsidRPr="00116E5A" w:rsidRDefault="00F44418" w:rsidP="00116E5A">
      <w:pPr>
        <w:pStyle w:val="ListParagraph"/>
        <w:numPr>
          <w:ilvl w:val="1"/>
          <w:numId w:val="1"/>
        </w:numPr>
      </w:pPr>
      <w:r>
        <w:t>DO NOT EXPAND TO STATES.</w:t>
      </w:r>
      <w:r w:rsidR="00116E5A">
        <w:br/>
      </w:r>
      <w:r w:rsidR="00116E5A">
        <w:br/>
      </w:r>
      <w:r w:rsidR="00116E5A">
        <w:br/>
      </w:r>
      <w:r w:rsidR="00116E5A">
        <w:br/>
      </w:r>
      <w:r w:rsidR="00C3278E">
        <w:br/>
      </w:r>
      <w:r w:rsidR="00C3278E">
        <w:br/>
      </w:r>
    </w:p>
    <w:p w14:paraId="51D8B7D8" w14:textId="77777777" w:rsidR="00C6478B" w:rsidRDefault="00C6478B" w:rsidP="0048599B"/>
    <w:p w14:paraId="1EC93952" w14:textId="599F768C" w:rsidR="00E5134E" w:rsidRDefault="006325C4" w:rsidP="0048599B">
      <w:r>
        <w:br/>
      </w:r>
      <w:r>
        <w:br/>
      </w:r>
      <w:r>
        <w:br/>
      </w:r>
    </w:p>
    <w:p w14:paraId="28A8CAB1" w14:textId="77777777" w:rsidR="00E5134E" w:rsidRDefault="00E5134E" w:rsidP="0048599B"/>
    <w:p w14:paraId="043B4BBC" w14:textId="77777777" w:rsidR="001D2707" w:rsidRDefault="001D2707" w:rsidP="0048599B">
      <w:pPr>
        <w:jc w:val="center"/>
        <w:rPr>
          <w:b/>
          <w:color w:val="000000" w:themeColor="text1"/>
        </w:rPr>
      </w:pPr>
    </w:p>
    <w:p w14:paraId="18BCDDD1" w14:textId="77777777" w:rsidR="0048599B" w:rsidRDefault="0048599B" w:rsidP="0048599B">
      <w:pPr>
        <w:jc w:val="center"/>
        <w:rPr>
          <w:b/>
          <w:color w:val="000000" w:themeColor="text1"/>
        </w:rPr>
      </w:pPr>
      <w:r w:rsidRPr="008B2637">
        <w:rPr>
          <w:b/>
          <w:color w:val="000000" w:themeColor="text1"/>
        </w:rPr>
        <w:lastRenderedPageBreak/>
        <w:t xml:space="preserve">DECISIONS INTERPRETING MEANING OF ATDS </w:t>
      </w:r>
    </w:p>
    <w:p w14:paraId="209662C9" w14:textId="77777777" w:rsidR="0048599B" w:rsidRPr="008B2637" w:rsidRDefault="0048599B" w:rsidP="0048599B">
      <w:pPr>
        <w:jc w:val="center"/>
        <w:rPr>
          <w:b/>
          <w:color w:val="000000" w:themeColor="text1"/>
        </w:rPr>
      </w:pPr>
      <w:r w:rsidRPr="00122453">
        <w:rPr>
          <w:b/>
          <w:color w:val="000000" w:themeColor="text1"/>
          <w:u w:val="single"/>
        </w:rPr>
        <w:t>SINCE</w:t>
      </w:r>
      <w:r w:rsidRPr="008B2637">
        <w:rPr>
          <w:b/>
          <w:color w:val="000000" w:themeColor="text1"/>
        </w:rPr>
        <w:t xml:space="preserve"> </w:t>
      </w:r>
      <w:r w:rsidRPr="008B2637">
        <w:rPr>
          <w:b/>
          <w:i/>
          <w:color w:val="000000" w:themeColor="text1"/>
        </w:rPr>
        <w:t>ACA INTERNATIONAL</w:t>
      </w:r>
    </w:p>
    <w:p w14:paraId="445873EA" w14:textId="77777777" w:rsidR="0048599B" w:rsidRPr="008B2637" w:rsidRDefault="0048599B" w:rsidP="0048599B">
      <w:pPr>
        <w:jc w:val="center"/>
        <w:rPr>
          <w:color w:val="000000" w:themeColor="text1"/>
        </w:rPr>
      </w:pPr>
      <w:r w:rsidRPr="008B2637">
        <w:rPr>
          <w:color w:val="000000" w:themeColor="text1"/>
        </w:rPr>
        <w:t>August 16, 2018</w:t>
      </w:r>
    </w:p>
    <w:p w14:paraId="1063A902" w14:textId="77777777" w:rsidR="0048599B" w:rsidRPr="008B2637" w:rsidRDefault="0048599B" w:rsidP="0048599B">
      <w:pPr>
        <w:rPr>
          <w:b/>
          <w:color w:val="000000" w:themeColor="text1"/>
        </w:rPr>
      </w:pPr>
    </w:p>
    <w:p w14:paraId="5A5772C3" w14:textId="77777777" w:rsidR="0048599B" w:rsidRPr="00D77AD3" w:rsidRDefault="0048599B" w:rsidP="0048599B">
      <w:pPr>
        <w:pStyle w:val="ListParagraph"/>
        <w:numPr>
          <w:ilvl w:val="0"/>
          <w:numId w:val="3"/>
        </w:numPr>
        <w:rPr>
          <w:b/>
          <w:color w:val="000000" w:themeColor="text1"/>
        </w:rPr>
      </w:pPr>
      <w:r w:rsidRPr="00D77AD3">
        <w:rPr>
          <w:b/>
          <w:color w:val="000000" w:themeColor="text1"/>
        </w:rPr>
        <w:t>Most courts hold held that the FCC’s earlier orders (2003, 2008, and 2012) remain in effect:</w:t>
      </w:r>
    </w:p>
    <w:p w14:paraId="67DA9627" w14:textId="77777777" w:rsidR="0048599B" w:rsidRDefault="0048599B" w:rsidP="0048599B">
      <w:pPr>
        <w:rPr>
          <w:color w:val="000000" w:themeColor="text1"/>
          <w:sz w:val="22"/>
        </w:rPr>
      </w:pPr>
    </w:p>
    <w:p w14:paraId="47BF44E9" w14:textId="77777777" w:rsidR="0048599B" w:rsidRPr="003101AA" w:rsidRDefault="0048599B" w:rsidP="0048599B">
      <w:pPr>
        <w:rPr>
          <w:rStyle w:val="red"/>
          <w:color w:val="000000" w:themeColor="text1"/>
          <w:sz w:val="22"/>
        </w:rPr>
      </w:pPr>
      <w:proofErr w:type="spellStart"/>
      <w:r w:rsidRPr="003101AA">
        <w:rPr>
          <w:color w:val="000000" w:themeColor="text1"/>
          <w:sz w:val="22"/>
        </w:rPr>
        <w:t>Somogyi</w:t>
      </w:r>
      <w:proofErr w:type="spellEnd"/>
      <w:r w:rsidRPr="003101AA">
        <w:rPr>
          <w:color w:val="000000" w:themeColor="text1"/>
          <w:sz w:val="22"/>
        </w:rPr>
        <w:t xml:space="preserve"> v. Freedom Mortgage Corp., 2018 WL 3656158, at *5 (D.N.J. Aug. 2, 2018)</w:t>
      </w:r>
      <w:proofErr w:type="gramStart"/>
      <w:r w:rsidRPr="003101AA">
        <w:rPr>
          <w:color w:val="000000" w:themeColor="text1"/>
          <w:sz w:val="22"/>
        </w:rPr>
        <w:t>;</w:t>
      </w:r>
      <w:proofErr w:type="gramEnd"/>
      <w:r w:rsidRPr="003101AA">
        <w:rPr>
          <w:color w:val="000000" w:themeColor="text1"/>
          <w:sz w:val="22"/>
        </w:rPr>
        <w:t xml:space="preserve"> </w:t>
      </w:r>
      <w:r w:rsidRPr="003101AA">
        <w:rPr>
          <w:rStyle w:val="red"/>
          <w:color w:val="000000" w:themeColor="text1"/>
          <w:sz w:val="22"/>
        </w:rPr>
        <w:t xml:space="preserve">Reyes v. BCA Fin. </w:t>
      </w:r>
      <w:proofErr w:type="spellStart"/>
      <w:r w:rsidRPr="003101AA">
        <w:rPr>
          <w:rStyle w:val="red"/>
          <w:color w:val="000000" w:themeColor="text1"/>
          <w:sz w:val="22"/>
        </w:rPr>
        <w:t>Servs</w:t>
      </w:r>
      <w:proofErr w:type="spellEnd"/>
      <w:proofErr w:type="gramStart"/>
      <w:r w:rsidRPr="003101AA">
        <w:rPr>
          <w:rStyle w:val="red"/>
          <w:color w:val="000000" w:themeColor="text1"/>
          <w:sz w:val="22"/>
        </w:rPr>
        <w:t>.,</w:t>
      </w:r>
      <w:proofErr w:type="gramEnd"/>
      <w:r w:rsidRPr="003101AA">
        <w:rPr>
          <w:rStyle w:val="red"/>
          <w:color w:val="000000" w:themeColor="text1"/>
          <w:sz w:val="22"/>
        </w:rPr>
        <w:t xml:space="preserve"> Inc., 2018 WL 2220417, at *11 (S.D. Fla. May 14, 2018); Maddox v. CBE </w:t>
      </w:r>
      <w:proofErr w:type="spellStart"/>
      <w:r w:rsidRPr="003101AA">
        <w:rPr>
          <w:rStyle w:val="red"/>
          <w:color w:val="000000" w:themeColor="text1"/>
          <w:sz w:val="22"/>
        </w:rPr>
        <w:t>Grp</w:t>
      </w:r>
      <w:proofErr w:type="spellEnd"/>
      <w:r w:rsidRPr="003101AA">
        <w:rPr>
          <w:rStyle w:val="red"/>
          <w:color w:val="000000" w:themeColor="text1"/>
          <w:sz w:val="22"/>
        </w:rPr>
        <w:t xml:space="preserve">., Inc., 2018 WL 2327037, at *4 (N.D. Ga. May 22, 2018); </w:t>
      </w:r>
      <w:proofErr w:type="spellStart"/>
      <w:r w:rsidRPr="003101AA">
        <w:rPr>
          <w:rStyle w:val="red"/>
          <w:color w:val="000000" w:themeColor="text1"/>
          <w:sz w:val="22"/>
        </w:rPr>
        <w:t>McMillion</w:t>
      </w:r>
      <w:proofErr w:type="spellEnd"/>
      <w:r w:rsidRPr="003101AA">
        <w:rPr>
          <w:rStyle w:val="red"/>
          <w:color w:val="000000" w:themeColor="text1"/>
          <w:sz w:val="22"/>
        </w:rPr>
        <w:t xml:space="preserve"> v. Rash Curtis &amp; Assocs., 2018 WL 3023449, at *3 (N.D. Cal. June 18, 2018); O’Shea v. Am. Solar Sol., Inc., 2018 WL 3217735 (S.D. Cal. July 2, 2018); </w:t>
      </w:r>
      <w:proofErr w:type="spellStart"/>
      <w:r w:rsidRPr="003101AA">
        <w:rPr>
          <w:rStyle w:val="red"/>
          <w:color w:val="000000" w:themeColor="text1"/>
          <w:sz w:val="22"/>
        </w:rPr>
        <w:t>Pieterson</w:t>
      </w:r>
      <w:proofErr w:type="spellEnd"/>
      <w:r w:rsidRPr="003101AA">
        <w:rPr>
          <w:rStyle w:val="red"/>
          <w:color w:val="000000" w:themeColor="text1"/>
          <w:sz w:val="22"/>
        </w:rPr>
        <w:t xml:space="preserve"> v. Wells Fargo Bank, 2018 WL 3241069, at *3 (N.D. Cal. July 2, 2018); </w:t>
      </w:r>
      <w:proofErr w:type="spellStart"/>
      <w:r w:rsidRPr="003101AA">
        <w:rPr>
          <w:rStyle w:val="red"/>
          <w:color w:val="000000" w:themeColor="text1"/>
          <w:sz w:val="22"/>
        </w:rPr>
        <w:t>Swaney</w:t>
      </w:r>
      <w:proofErr w:type="spellEnd"/>
      <w:r w:rsidRPr="003101AA">
        <w:rPr>
          <w:rStyle w:val="red"/>
          <w:color w:val="000000" w:themeColor="text1"/>
          <w:sz w:val="22"/>
        </w:rPr>
        <w:t xml:space="preserve"> v. Regions Bank, 2018 WL 2316452, at *1 (N.D. Ala. May 22, 2018). </w:t>
      </w:r>
      <w:r w:rsidRPr="003101AA">
        <w:rPr>
          <w:rStyle w:val="red-i"/>
          <w:color w:val="000000" w:themeColor="text1"/>
          <w:sz w:val="22"/>
        </w:rPr>
        <w:t>But see</w:t>
      </w:r>
      <w:r w:rsidRPr="003101AA">
        <w:rPr>
          <w:rStyle w:val="red"/>
          <w:color w:val="000000" w:themeColor="text1"/>
          <w:sz w:val="22"/>
        </w:rPr>
        <w:t xml:space="preserve"> </w:t>
      </w:r>
      <w:proofErr w:type="spellStart"/>
      <w:r w:rsidRPr="003101AA">
        <w:rPr>
          <w:rStyle w:val="red"/>
          <w:color w:val="000000" w:themeColor="text1"/>
          <w:sz w:val="22"/>
        </w:rPr>
        <w:t>Pinkus</w:t>
      </w:r>
      <w:proofErr w:type="spellEnd"/>
      <w:r w:rsidRPr="003101AA">
        <w:rPr>
          <w:rStyle w:val="red"/>
          <w:color w:val="000000" w:themeColor="text1"/>
          <w:sz w:val="22"/>
        </w:rPr>
        <w:t xml:space="preserve"> v. Sirius XM Radio, Inc., 2018 WL 3586186, at *6 (N.D. Ill. July 26, 2018); Sessions v. Barclays Bank, 2018 WL 3134439, at *2 (N.D. Ga. June 25, 2018); Herrick v. GoDaddy.com L.L.C., 2018 WL 2229131, at *7–*8 (D. Ariz. May 14, 2018).  </w:t>
      </w:r>
    </w:p>
    <w:p w14:paraId="0FC38A52" w14:textId="77777777" w:rsidR="0048599B" w:rsidRPr="003101AA" w:rsidRDefault="0048599B" w:rsidP="0048599B">
      <w:pPr>
        <w:rPr>
          <w:rStyle w:val="red"/>
          <w:color w:val="000000" w:themeColor="text1"/>
          <w:sz w:val="22"/>
        </w:rPr>
      </w:pPr>
    </w:p>
    <w:p w14:paraId="5B9E1FF0" w14:textId="77777777" w:rsidR="0048599B" w:rsidRPr="008B2637" w:rsidRDefault="0048599B" w:rsidP="0048599B">
      <w:pPr>
        <w:rPr>
          <w:rStyle w:val="red"/>
          <w:color w:val="000000" w:themeColor="text1"/>
        </w:rPr>
      </w:pPr>
      <w:r w:rsidRPr="003101AA">
        <w:rPr>
          <w:rStyle w:val="red"/>
          <w:color w:val="000000" w:themeColor="text1"/>
          <w:sz w:val="22"/>
        </w:rPr>
        <w:t>The two Circuit decision</w:t>
      </w:r>
      <w:r>
        <w:rPr>
          <w:rStyle w:val="red"/>
          <w:color w:val="000000" w:themeColor="text1"/>
          <w:sz w:val="22"/>
        </w:rPr>
        <w:t>s</w:t>
      </w:r>
      <w:r w:rsidRPr="003101AA">
        <w:rPr>
          <w:rStyle w:val="red"/>
          <w:color w:val="000000" w:themeColor="text1"/>
          <w:sz w:val="22"/>
        </w:rPr>
        <w:t xml:space="preserve"> so far, King v. Time Warner Cable, Inc., 894 F.3d 473, 481 (2d Cir. 2018) and Dominguez v. Yahoo, Inc., 894 F.3d 116 (3d Cir. 2018), do not mention the earlier orders or address whether they are still in effect.</w:t>
      </w:r>
    </w:p>
    <w:p w14:paraId="5C3C2436" w14:textId="77777777" w:rsidR="0048599B" w:rsidRPr="008B2637" w:rsidRDefault="0048599B" w:rsidP="0048599B">
      <w:pPr>
        <w:rPr>
          <w:rStyle w:val="red"/>
          <w:color w:val="000000" w:themeColor="text1"/>
        </w:rPr>
      </w:pPr>
    </w:p>
    <w:p w14:paraId="0A460649" w14:textId="77777777" w:rsidR="0048599B" w:rsidRPr="00D77AD3" w:rsidRDefault="0048599B" w:rsidP="0048599B">
      <w:pPr>
        <w:pStyle w:val="ListParagraph"/>
        <w:numPr>
          <w:ilvl w:val="0"/>
          <w:numId w:val="3"/>
        </w:numPr>
        <w:rPr>
          <w:rStyle w:val="red"/>
          <w:b/>
          <w:color w:val="000000" w:themeColor="text1"/>
        </w:rPr>
      </w:pPr>
      <w:r w:rsidRPr="00D77AD3">
        <w:rPr>
          <w:rStyle w:val="red"/>
          <w:b/>
          <w:color w:val="000000" w:themeColor="text1"/>
        </w:rPr>
        <w:t xml:space="preserve">Since the earlier orders remain in effect, several courts hold that the definition of ATDS encompasses predictive dialers …  </w:t>
      </w:r>
    </w:p>
    <w:p w14:paraId="3B6BC9C1" w14:textId="77777777" w:rsidR="0048599B" w:rsidRDefault="0048599B" w:rsidP="0048599B">
      <w:pPr>
        <w:pStyle w:val="fn"/>
        <w:ind w:left="0" w:firstLine="0"/>
        <w:rPr>
          <w:rStyle w:val="red"/>
          <w:rFonts w:ascii="Garamond" w:hAnsi="Garamond"/>
          <w:color w:val="000000" w:themeColor="text1"/>
          <w:sz w:val="22"/>
          <w:szCs w:val="22"/>
        </w:rPr>
      </w:pPr>
    </w:p>
    <w:p w14:paraId="3127C389" w14:textId="77777777" w:rsidR="0048599B" w:rsidRPr="003101AA" w:rsidRDefault="0048599B" w:rsidP="0048599B">
      <w:pPr>
        <w:pStyle w:val="fn"/>
        <w:ind w:left="0" w:firstLine="0"/>
        <w:rPr>
          <w:rFonts w:ascii="Garamond" w:eastAsia="MS Mincho" w:hAnsi="Garamond"/>
          <w:color w:val="000000" w:themeColor="text1"/>
          <w:sz w:val="22"/>
          <w:szCs w:val="22"/>
        </w:rPr>
      </w:pPr>
      <w:r w:rsidRPr="003101AA">
        <w:rPr>
          <w:rStyle w:val="red"/>
          <w:rFonts w:ascii="Garamond" w:hAnsi="Garamond"/>
          <w:color w:val="000000" w:themeColor="text1"/>
          <w:sz w:val="22"/>
          <w:szCs w:val="22"/>
        </w:rPr>
        <w:t xml:space="preserve">Patterson v. Ally Fin., Inc., 2018 WL 647438, at *2 (M.D. Fla. Jan. 31, 2018); </w:t>
      </w:r>
      <w:proofErr w:type="spellStart"/>
      <w:r w:rsidRPr="003101AA">
        <w:rPr>
          <w:rStyle w:val="red"/>
          <w:rFonts w:ascii="Garamond" w:hAnsi="Garamond"/>
          <w:color w:val="000000" w:themeColor="text1"/>
          <w:sz w:val="22"/>
          <w:szCs w:val="22"/>
        </w:rPr>
        <w:t>Ammons</w:t>
      </w:r>
      <w:proofErr w:type="spellEnd"/>
      <w:r w:rsidRPr="003101AA">
        <w:rPr>
          <w:rStyle w:val="red"/>
          <w:rFonts w:ascii="Garamond" w:hAnsi="Garamond"/>
          <w:color w:val="000000" w:themeColor="text1"/>
          <w:sz w:val="22"/>
          <w:szCs w:val="22"/>
        </w:rPr>
        <w:t xml:space="preserve"> v. Ally Fin., Inc., 2018 WL 3134619 (M.D. Tenn. June 27, 2018); Reyes v. BCA Fin. </w:t>
      </w:r>
      <w:proofErr w:type="spellStart"/>
      <w:r w:rsidRPr="003101AA">
        <w:rPr>
          <w:rStyle w:val="red"/>
          <w:rFonts w:ascii="Garamond" w:hAnsi="Garamond"/>
          <w:color w:val="000000" w:themeColor="text1"/>
          <w:sz w:val="22"/>
          <w:szCs w:val="22"/>
        </w:rPr>
        <w:t>Servs</w:t>
      </w:r>
      <w:proofErr w:type="spellEnd"/>
      <w:proofErr w:type="gramStart"/>
      <w:r w:rsidRPr="003101AA">
        <w:rPr>
          <w:rStyle w:val="red"/>
          <w:rFonts w:ascii="Garamond" w:hAnsi="Garamond"/>
          <w:color w:val="000000" w:themeColor="text1"/>
          <w:sz w:val="22"/>
          <w:szCs w:val="22"/>
        </w:rPr>
        <w:t>.,</w:t>
      </w:r>
      <w:proofErr w:type="gramEnd"/>
      <w:r w:rsidRPr="003101AA">
        <w:rPr>
          <w:rStyle w:val="red"/>
          <w:rFonts w:ascii="Garamond" w:hAnsi="Garamond"/>
          <w:color w:val="000000" w:themeColor="text1"/>
          <w:sz w:val="22"/>
          <w:szCs w:val="22"/>
        </w:rPr>
        <w:t xml:space="preserve"> Inc., 2018 WL 2220417, at *11 (S.D. Fla. May 14, 2018); O’Shea v. Am. Solar Sol., Inc., 2018 WL 3217735 (S.D. Cal. July 2, 2018); France v. </w:t>
      </w:r>
      <w:proofErr w:type="spellStart"/>
      <w:r w:rsidRPr="003101AA">
        <w:rPr>
          <w:rStyle w:val="red"/>
          <w:rFonts w:ascii="Garamond" w:hAnsi="Garamond"/>
          <w:color w:val="000000" w:themeColor="text1"/>
          <w:sz w:val="22"/>
          <w:szCs w:val="22"/>
        </w:rPr>
        <w:t>Ditech</w:t>
      </w:r>
      <w:proofErr w:type="spellEnd"/>
      <w:r w:rsidRPr="003101AA">
        <w:rPr>
          <w:rStyle w:val="red"/>
          <w:rFonts w:ascii="Garamond" w:hAnsi="Garamond"/>
          <w:color w:val="000000" w:themeColor="text1"/>
          <w:sz w:val="22"/>
          <w:szCs w:val="22"/>
        </w:rPr>
        <w:t xml:space="preserve"> Fin., L.L.C., 2018 WL 1695405 (M.D. Fla. Apr. 6, 2018) (relying on 11th Circuit decision that relied on FCC’s 2003 order).</w:t>
      </w:r>
    </w:p>
    <w:p w14:paraId="5D85311D" w14:textId="77777777" w:rsidR="0048599B" w:rsidRPr="008B2637" w:rsidRDefault="0048599B" w:rsidP="0048599B">
      <w:pPr>
        <w:rPr>
          <w:rStyle w:val="red"/>
          <w:b/>
          <w:color w:val="000000" w:themeColor="text1"/>
        </w:rPr>
      </w:pPr>
    </w:p>
    <w:p w14:paraId="59BA1746" w14:textId="77777777" w:rsidR="0048599B" w:rsidRPr="00881C93" w:rsidRDefault="0048599B" w:rsidP="0048599B">
      <w:pPr>
        <w:pStyle w:val="ListParagraph"/>
        <w:numPr>
          <w:ilvl w:val="0"/>
          <w:numId w:val="3"/>
        </w:numPr>
        <w:rPr>
          <w:rStyle w:val="red"/>
          <w:b/>
          <w:color w:val="000000" w:themeColor="text1"/>
        </w:rPr>
      </w:pPr>
      <w:r>
        <w:rPr>
          <w:rStyle w:val="red"/>
          <w:b/>
          <w:color w:val="000000" w:themeColor="text1"/>
        </w:rPr>
        <w:t xml:space="preserve">… </w:t>
      </w:r>
      <w:proofErr w:type="gramStart"/>
      <w:r>
        <w:rPr>
          <w:rStyle w:val="red"/>
          <w:b/>
          <w:color w:val="000000" w:themeColor="text1"/>
        </w:rPr>
        <w:t>a</w:t>
      </w:r>
      <w:r w:rsidRPr="00881C93">
        <w:rPr>
          <w:rStyle w:val="red"/>
          <w:b/>
          <w:color w:val="000000" w:themeColor="text1"/>
        </w:rPr>
        <w:t>s</w:t>
      </w:r>
      <w:proofErr w:type="gramEnd"/>
      <w:r w:rsidRPr="00881C93">
        <w:rPr>
          <w:rStyle w:val="red"/>
          <w:b/>
          <w:color w:val="000000" w:themeColor="text1"/>
        </w:rPr>
        <w:t xml:space="preserve"> well as any device that dials numbers without human intervention: </w:t>
      </w:r>
    </w:p>
    <w:p w14:paraId="531BCE4B" w14:textId="77777777" w:rsidR="0048599B" w:rsidRPr="008B2637" w:rsidRDefault="0048599B" w:rsidP="0048599B">
      <w:pPr>
        <w:rPr>
          <w:rStyle w:val="red"/>
          <w:b/>
          <w:color w:val="000000" w:themeColor="text1"/>
        </w:rPr>
      </w:pPr>
    </w:p>
    <w:p w14:paraId="6CC5E25E" w14:textId="77777777" w:rsidR="0048599B" w:rsidRPr="003101AA" w:rsidRDefault="0048599B" w:rsidP="0048599B">
      <w:pPr>
        <w:rPr>
          <w:rStyle w:val="red"/>
          <w:color w:val="000000" w:themeColor="text1"/>
          <w:sz w:val="22"/>
        </w:rPr>
      </w:pPr>
      <w:proofErr w:type="spellStart"/>
      <w:proofErr w:type="gramStart"/>
      <w:r w:rsidRPr="003101AA">
        <w:rPr>
          <w:rStyle w:val="red"/>
          <w:color w:val="000000" w:themeColor="text1"/>
          <w:sz w:val="22"/>
        </w:rPr>
        <w:t>Swaney</w:t>
      </w:r>
      <w:proofErr w:type="spellEnd"/>
      <w:r w:rsidRPr="003101AA">
        <w:rPr>
          <w:rStyle w:val="red"/>
          <w:color w:val="000000" w:themeColor="text1"/>
          <w:sz w:val="22"/>
        </w:rPr>
        <w:t xml:space="preserve"> v. Regions Bank, 2015 WL 12751706 (N.D. Ala. July 13, 2015) (text message sending system); </w:t>
      </w:r>
      <w:proofErr w:type="spellStart"/>
      <w:r w:rsidRPr="003101AA">
        <w:rPr>
          <w:rStyle w:val="red"/>
          <w:color w:val="000000" w:themeColor="text1"/>
          <w:sz w:val="22"/>
        </w:rPr>
        <w:t>Zeidel</w:t>
      </w:r>
      <w:proofErr w:type="spellEnd"/>
      <w:r w:rsidRPr="003101AA">
        <w:rPr>
          <w:rStyle w:val="red"/>
          <w:color w:val="000000" w:themeColor="text1"/>
          <w:sz w:val="22"/>
        </w:rPr>
        <w:t xml:space="preserve"> v.</w:t>
      </w:r>
      <w:proofErr w:type="gramEnd"/>
      <w:r w:rsidRPr="003101AA">
        <w:rPr>
          <w:rStyle w:val="red"/>
          <w:color w:val="000000" w:themeColor="text1"/>
          <w:sz w:val="22"/>
        </w:rPr>
        <w:t xml:space="preserve"> A&amp;M (2015) L.L.C., 2017 WL 1178150 (N.D. Ill. Mar. 30, 2017) (device that sends text messages </w:t>
      </w:r>
      <w:r w:rsidRPr="003101AA">
        <w:rPr>
          <w:rStyle w:val="red-i"/>
          <w:color w:val="000000" w:themeColor="text1"/>
          <w:sz w:val="22"/>
        </w:rPr>
        <w:t>en masse</w:t>
      </w:r>
      <w:r w:rsidRPr="003101AA">
        <w:rPr>
          <w:rStyle w:val="red-i"/>
          <w:i w:val="0"/>
          <w:color w:val="000000" w:themeColor="text1"/>
          <w:sz w:val="22"/>
        </w:rPr>
        <w:t>)</w:t>
      </w:r>
      <w:r w:rsidRPr="003101AA">
        <w:rPr>
          <w:rStyle w:val="red"/>
          <w:color w:val="000000" w:themeColor="text1"/>
          <w:sz w:val="22"/>
        </w:rPr>
        <w:t xml:space="preserve">; </w:t>
      </w:r>
      <w:hyperlink r:id="rId8" w:anchor="co_pp_sp_7903_1374" w:history="1">
        <w:r w:rsidRPr="003101AA">
          <w:rPr>
            <w:rStyle w:val="red"/>
            <w:color w:val="000000" w:themeColor="text1"/>
            <w:sz w:val="22"/>
          </w:rPr>
          <w:t xml:space="preserve">Legg v. Voice Media </w:t>
        </w:r>
        <w:proofErr w:type="spellStart"/>
        <w:r w:rsidRPr="003101AA">
          <w:rPr>
            <w:rStyle w:val="red"/>
            <w:color w:val="000000" w:themeColor="text1"/>
            <w:sz w:val="22"/>
          </w:rPr>
          <w:t>Grp</w:t>
        </w:r>
        <w:proofErr w:type="spellEnd"/>
        <w:r w:rsidRPr="003101AA">
          <w:rPr>
            <w:rStyle w:val="red"/>
            <w:color w:val="000000" w:themeColor="text1"/>
            <w:sz w:val="22"/>
          </w:rPr>
          <w:t>., Inc., 20 F. Supp. 3d 1370, 1374 (S.D. Fla. 2014)</w:t>
        </w:r>
      </w:hyperlink>
      <w:r w:rsidRPr="003101AA">
        <w:rPr>
          <w:rStyle w:val="red"/>
          <w:color w:val="000000" w:themeColor="text1"/>
          <w:sz w:val="22"/>
        </w:rPr>
        <w:t xml:space="preserve"> (relying on 2003 order to define ATDS as one that dials numbers without human intervention, but such a device was not used here).  </w:t>
      </w:r>
      <w:r w:rsidRPr="003101AA">
        <w:rPr>
          <w:rStyle w:val="red-i"/>
          <w:color w:val="000000" w:themeColor="text1"/>
          <w:sz w:val="22"/>
        </w:rPr>
        <w:t>Cf</w:t>
      </w:r>
      <w:r w:rsidRPr="003101AA">
        <w:rPr>
          <w:rStyle w:val="red"/>
          <w:color w:val="000000" w:themeColor="text1"/>
          <w:sz w:val="22"/>
        </w:rPr>
        <w:t xml:space="preserve">. Marshall v. CBE </w:t>
      </w:r>
      <w:proofErr w:type="spellStart"/>
      <w:r w:rsidRPr="003101AA">
        <w:rPr>
          <w:rStyle w:val="red"/>
          <w:color w:val="000000" w:themeColor="text1"/>
          <w:sz w:val="22"/>
        </w:rPr>
        <w:t>Grp</w:t>
      </w:r>
      <w:proofErr w:type="spellEnd"/>
      <w:r w:rsidRPr="003101AA">
        <w:rPr>
          <w:rStyle w:val="red"/>
          <w:color w:val="000000" w:themeColor="text1"/>
          <w:sz w:val="22"/>
        </w:rPr>
        <w:t xml:space="preserve">., Inc., 2018 WL 1567852 (D. Nev. Mar. 30, 2018) (even if FCC’s 2003 order is still in effect, human intervention is integral to initiating call through point-and-click system, so it is not an ATDS); Maddox v. CBE </w:t>
      </w:r>
      <w:proofErr w:type="spellStart"/>
      <w:r w:rsidRPr="003101AA">
        <w:rPr>
          <w:rStyle w:val="red"/>
          <w:color w:val="000000" w:themeColor="text1"/>
          <w:sz w:val="22"/>
        </w:rPr>
        <w:t>Grp</w:t>
      </w:r>
      <w:proofErr w:type="spellEnd"/>
      <w:r w:rsidRPr="003101AA">
        <w:rPr>
          <w:rStyle w:val="red"/>
          <w:color w:val="000000" w:themeColor="text1"/>
          <w:sz w:val="22"/>
        </w:rPr>
        <w:t>., Inc., 2018 WL 2327037, at *4 (N.D. Ga. May 22, 2018) (same).</w:t>
      </w:r>
    </w:p>
    <w:p w14:paraId="7E8A2927" w14:textId="77777777" w:rsidR="0048599B" w:rsidRPr="008B2637" w:rsidRDefault="0048599B" w:rsidP="0048599B">
      <w:pPr>
        <w:rPr>
          <w:rStyle w:val="red"/>
          <w:b/>
          <w:color w:val="000000" w:themeColor="text1"/>
        </w:rPr>
      </w:pPr>
    </w:p>
    <w:p w14:paraId="1559CADC" w14:textId="77777777" w:rsidR="0048599B" w:rsidRPr="008C2B28" w:rsidRDefault="0048599B" w:rsidP="0048599B">
      <w:pPr>
        <w:pStyle w:val="ListParagraph"/>
        <w:numPr>
          <w:ilvl w:val="0"/>
          <w:numId w:val="3"/>
        </w:numPr>
        <w:rPr>
          <w:rStyle w:val="red"/>
          <w:b/>
          <w:color w:val="000000" w:themeColor="text1"/>
        </w:rPr>
      </w:pPr>
      <w:r w:rsidRPr="008C2B28">
        <w:rPr>
          <w:rStyle w:val="red"/>
          <w:b/>
          <w:color w:val="000000" w:themeColor="text1"/>
        </w:rPr>
        <w:t>Most courts hold that the definition of “capacity” remains an open question:</w:t>
      </w:r>
      <w:r>
        <w:rPr>
          <w:rStyle w:val="red"/>
          <w:b/>
          <w:color w:val="000000" w:themeColor="text1"/>
        </w:rPr>
        <w:br/>
      </w:r>
    </w:p>
    <w:p w14:paraId="30C81FFB" w14:textId="77777777" w:rsidR="0048599B" w:rsidRPr="003101AA" w:rsidRDefault="0048599B" w:rsidP="0048599B">
      <w:pPr>
        <w:rPr>
          <w:rStyle w:val="red"/>
          <w:b/>
          <w:color w:val="000000" w:themeColor="text1"/>
          <w:sz w:val="22"/>
        </w:rPr>
      </w:pPr>
      <w:proofErr w:type="spellStart"/>
      <w:r w:rsidRPr="003101AA">
        <w:rPr>
          <w:rStyle w:val="red"/>
          <w:color w:val="000000" w:themeColor="text1"/>
          <w:sz w:val="22"/>
        </w:rPr>
        <w:t>Ammons</w:t>
      </w:r>
      <w:proofErr w:type="spellEnd"/>
      <w:r w:rsidRPr="003101AA">
        <w:rPr>
          <w:rStyle w:val="red"/>
          <w:color w:val="000000" w:themeColor="text1"/>
          <w:sz w:val="22"/>
        </w:rPr>
        <w:t xml:space="preserve"> v. Ally Fin., Inc., 2018 WL 3134619, at *6 (M.D. Tenn. June 27, 2018)</w:t>
      </w:r>
      <w:proofErr w:type="gramStart"/>
      <w:r w:rsidRPr="003101AA">
        <w:rPr>
          <w:rStyle w:val="red"/>
          <w:color w:val="000000" w:themeColor="text1"/>
          <w:sz w:val="22"/>
        </w:rPr>
        <w:t>;</w:t>
      </w:r>
      <w:proofErr w:type="gramEnd"/>
      <w:r w:rsidRPr="003101AA">
        <w:rPr>
          <w:rStyle w:val="red"/>
          <w:color w:val="000000" w:themeColor="text1"/>
          <w:sz w:val="22"/>
        </w:rPr>
        <w:t xml:space="preserve"> Reyes v. BCA Fin. </w:t>
      </w:r>
      <w:proofErr w:type="spellStart"/>
      <w:r w:rsidRPr="003101AA">
        <w:rPr>
          <w:rStyle w:val="red"/>
          <w:color w:val="000000" w:themeColor="text1"/>
          <w:sz w:val="22"/>
        </w:rPr>
        <w:t>Servs</w:t>
      </w:r>
      <w:proofErr w:type="spellEnd"/>
      <w:proofErr w:type="gramStart"/>
      <w:r w:rsidRPr="003101AA">
        <w:rPr>
          <w:rStyle w:val="red"/>
          <w:color w:val="000000" w:themeColor="text1"/>
          <w:sz w:val="22"/>
        </w:rPr>
        <w:t>.,</w:t>
      </w:r>
      <w:proofErr w:type="gramEnd"/>
      <w:r w:rsidRPr="003101AA">
        <w:rPr>
          <w:rStyle w:val="red"/>
          <w:color w:val="000000" w:themeColor="text1"/>
          <w:sz w:val="22"/>
        </w:rPr>
        <w:t xml:space="preserve"> Inc., 2018 WL 2220417, at *9, *12 (S.D. Fla. May 14, 2018); Sessions v. Barclays Bank, 2018 WL 3134439, at *3 (N.D. Ga. June 25, 2018); </w:t>
      </w:r>
      <w:proofErr w:type="spellStart"/>
      <w:r w:rsidRPr="003101AA">
        <w:rPr>
          <w:rStyle w:val="red"/>
          <w:color w:val="000000" w:themeColor="text1"/>
          <w:sz w:val="22"/>
        </w:rPr>
        <w:t>McMillion</w:t>
      </w:r>
      <w:proofErr w:type="spellEnd"/>
      <w:r w:rsidRPr="003101AA">
        <w:rPr>
          <w:rStyle w:val="red"/>
          <w:color w:val="000000" w:themeColor="text1"/>
          <w:sz w:val="22"/>
        </w:rPr>
        <w:t xml:space="preserve"> v. Rash Curtis &amp; Assocs., 2018 WL 3023449 (N.D. Cal. June 18, 2018). </w:t>
      </w:r>
      <w:r w:rsidRPr="003101AA">
        <w:rPr>
          <w:rStyle w:val="red-i"/>
          <w:color w:val="000000" w:themeColor="text1"/>
          <w:sz w:val="22"/>
        </w:rPr>
        <w:t>But see</w:t>
      </w:r>
      <w:r w:rsidRPr="003101AA">
        <w:rPr>
          <w:rStyle w:val="red"/>
          <w:color w:val="000000" w:themeColor="text1"/>
          <w:sz w:val="22"/>
        </w:rPr>
        <w:t xml:space="preserve"> Lord v. </w:t>
      </w:r>
      <w:proofErr w:type="spellStart"/>
      <w:r w:rsidRPr="003101AA">
        <w:rPr>
          <w:rStyle w:val="red"/>
          <w:color w:val="000000" w:themeColor="text1"/>
          <w:sz w:val="22"/>
        </w:rPr>
        <w:t>Kisling</w:t>
      </w:r>
      <w:proofErr w:type="spellEnd"/>
      <w:r w:rsidRPr="003101AA">
        <w:rPr>
          <w:rStyle w:val="red"/>
          <w:color w:val="000000" w:themeColor="text1"/>
          <w:sz w:val="22"/>
        </w:rPr>
        <w:t xml:space="preserve">, </w:t>
      </w:r>
      <w:proofErr w:type="spellStart"/>
      <w:r w:rsidRPr="003101AA">
        <w:rPr>
          <w:rStyle w:val="red"/>
          <w:color w:val="000000" w:themeColor="text1"/>
          <w:sz w:val="22"/>
        </w:rPr>
        <w:t>Nestico</w:t>
      </w:r>
      <w:proofErr w:type="spellEnd"/>
      <w:r w:rsidRPr="003101AA">
        <w:rPr>
          <w:rStyle w:val="red"/>
          <w:color w:val="000000" w:themeColor="text1"/>
          <w:sz w:val="22"/>
        </w:rPr>
        <w:t xml:space="preserve"> &amp; </w:t>
      </w:r>
      <w:proofErr w:type="spellStart"/>
      <w:r w:rsidRPr="003101AA">
        <w:rPr>
          <w:rStyle w:val="red"/>
          <w:color w:val="000000" w:themeColor="text1"/>
          <w:sz w:val="22"/>
        </w:rPr>
        <w:t>Redick</w:t>
      </w:r>
      <w:proofErr w:type="spellEnd"/>
      <w:r w:rsidRPr="003101AA">
        <w:rPr>
          <w:rStyle w:val="red"/>
          <w:color w:val="000000" w:themeColor="text1"/>
          <w:sz w:val="22"/>
        </w:rPr>
        <w:t xml:space="preserve">, L.L.C., </w:t>
      </w:r>
      <w:proofErr w:type="gramStart"/>
      <w:r w:rsidRPr="003101AA">
        <w:rPr>
          <w:rStyle w:val="red"/>
          <w:color w:val="000000" w:themeColor="text1"/>
          <w:sz w:val="22"/>
        </w:rPr>
        <w:t>2018 WL 3391941</w:t>
      </w:r>
      <w:proofErr w:type="gramEnd"/>
      <w:r w:rsidRPr="003101AA">
        <w:rPr>
          <w:rStyle w:val="red"/>
          <w:color w:val="000000" w:themeColor="text1"/>
          <w:sz w:val="22"/>
        </w:rPr>
        <w:t xml:space="preserve"> (N.D. Ohio July 12, 2018) (misinterpreting </w:t>
      </w:r>
      <w:r w:rsidRPr="003101AA">
        <w:rPr>
          <w:rStyle w:val="red-i"/>
          <w:color w:val="000000" w:themeColor="text1"/>
          <w:sz w:val="22"/>
        </w:rPr>
        <w:t xml:space="preserve">ACA International </w:t>
      </w:r>
      <w:r w:rsidRPr="003101AA">
        <w:rPr>
          <w:rStyle w:val="red"/>
          <w:color w:val="000000" w:themeColor="text1"/>
          <w:sz w:val="22"/>
        </w:rPr>
        <w:t xml:space="preserve">as “rejecting the ‘capacity’ or ‘potential functionality’ test”; finding plaintiff’s ATDS allegations insufficient).  </w:t>
      </w:r>
    </w:p>
    <w:p w14:paraId="087FB3A8" w14:textId="77777777" w:rsidR="0048599B" w:rsidRDefault="0048599B" w:rsidP="0048599B">
      <w:pPr>
        <w:rPr>
          <w:rStyle w:val="red"/>
          <w:b/>
          <w:color w:val="000000" w:themeColor="text1"/>
        </w:rPr>
      </w:pPr>
    </w:p>
    <w:p w14:paraId="261BF4D9" w14:textId="77777777" w:rsidR="0048599B" w:rsidRPr="008C2B28" w:rsidRDefault="0048599B" w:rsidP="0048599B">
      <w:pPr>
        <w:pStyle w:val="ListParagraph"/>
        <w:numPr>
          <w:ilvl w:val="0"/>
          <w:numId w:val="3"/>
        </w:numPr>
        <w:rPr>
          <w:rStyle w:val="red"/>
          <w:b/>
          <w:color w:val="000000" w:themeColor="text1"/>
        </w:rPr>
      </w:pPr>
      <w:r w:rsidRPr="008C2B28">
        <w:rPr>
          <w:rStyle w:val="red"/>
          <w:b/>
          <w:color w:val="000000" w:themeColor="text1"/>
        </w:rPr>
        <w:lastRenderedPageBreak/>
        <w:t>The Second and Third Circuits interpret “capacity” to mean only present capacity (but including easily activated functionalities)</w:t>
      </w:r>
      <w:proofErr w:type="gramStart"/>
      <w:r w:rsidRPr="008C2B28">
        <w:rPr>
          <w:rStyle w:val="red"/>
          <w:b/>
          <w:color w:val="000000" w:themeColor="text1"/>
        </w:rPr>
        <w:t xml:space="preserve">:  </w:t>
      </w:r>
      <w:proofErr w:type="gramEnd"/>
      <w:r>
        <w:rPr>
          <w:rStyle w:val="red"/>
          <w:b/>
          <w:color w:val="000000" w:themeColor="text1"/>
        </w:rPr>
        <w:br/>
      </w:r>
    </w:p>
    <w:p w14:paraId="198CE0E2" w14:textId="77777777" w:rsidR="0048599B" w:rsidRPr="008B2637" w:rsidRDefault="0048599B" w:rsidP="0048599B">
      <w:pPr>
        <w:rPr>
          <w:rStyle w:val="red"/>
          <w:b/>
          <w:color w:val="000000" w:themeColor="text1"/>
        </w:rPr>
      </w:pPr>
      <w:proofErr w:type="gramStart"/>
      <w:r w:rsidRPr="003101AA">
        <w:rPr>
          <w:rStyle w:val="red"/>
          <w:color w:val="000000" w:themeColor="text1"/>
          <w:sz w:val="22"/>
        </w:rPr>
        <w:t>King v. Time Warner Cable, Inc., 894 F.3d 473, 481 (2d Cir. 2018) (debt collection calls made automatically from a list); Dominguez v. Yahoo, Inc., 894 F.3d 116 (3d Cir. 2018) (automatic alert-sending system is not an ATDS).</w:t>
      </w:r>
      <w:proofErr w:type="gramEnd"/>
      <w:r w:rsidRPr="008B2637">
        <w:rPr>
          <w:rStyle w:val="red"/>
          <w:color w:val="000000" w:themeColor="text1"/>
        </w:rPr>
        <w:t xml:space="preserve"> </w:t>
      </w:r>
    </w:p>
    <w:p w14:paraId="4C9BEC7B" w14:textId="77777777" w:rsidR="0048599B" w:rsidRPr="008B2637" w:rsidRDefault="0048599B" w:rsidP="0048599B">
      <w:pPr>
        <w:rPr>
          <w:rStyle w:val="red"/>
          <w:color w:val="000000" w:themeColor="text1"/>
        </w:rPr>
      </w:pPr>
    </w:p>
    <w:p w14:paraId="14CC153C" w14:textId="77777777" w:rsidR="0048599B" w:rsidRPr="008C2B28" w:rsidRDefault="0048599B" w:rsidP="0048599B">
      <w:pPr>
        <w:pStyle w:val="ListParagraph"/>
        <w:numPr>
          <w:ilvl w:val="0"/>
          <w:numId w:val="3"/>
        </w:numPr>
        <w:rPr>
          <w:rStyle w:val="red"/>
          <w:b/>
          <w:color w:val="000000" w:themeColor="text1"/>
        </w:rPr>
      </w:pPr>
      <w:bookmarkStart w:id="0" w:name="_DV_M339"/>
      <w:bookmarkEnd w:id="0"/>
      <w:r w:rsidRPr="008C2B28">
        <w:rPr>
          <w:rStyle w:val="red"/>
          <w:b/>
          <w:color w:val="000000" w:themeColor="text1"/>
        </w:rPr>
        <w:t xml:space="preserve">One court rejects the argument that “using a random or sequential number generator” modifies only the word “store” (but </w:t>
      </w:r>
      <w:r>
        <w:rPr>
          <w:rStyle w:val="red"/>
          <w:b/>
          <w:color w:val="000000" w:themeColor="text1"/>
        </w:rPr>
        <w:t>does not</w:t>
      </w:r>
      <w:r w:rsidRPr="008C2B28">
        <w:rPr>
          <w:rStyle w:val="red"/>
          <w:b/>
          <w:color w:val="000000" w:themeColor="text1"/>
        </w:rPr>
        <w:t xml:space="preserve"> answer the question how numbers can be stored using a random or sequential number generator</w:t>
      </w:r>
      <w:r>
        <w:rPr>
          <w:rStyle w:val="red"/>
          <w:b/>
          <w:color w:val="000000" w:themeColor="text1"/>
        </w:rPr>
        <w:t>)</w:t>
      </w:r>
      <w:r w:rsidRPr="008C2B28">
        <w:rPr>
          <w:rStyle w:val="red"/>
          <w:b/>
          <w:color w:val="000000" w:themeColor="text1"/>
        </w:rPr>
        <w:t>:</w:t>
      </w:r>
    </w:p>
    <w:p w14:paraId="74575D82" w14:textId="77777777" w:rsidR="0048599B" w:rsidRDefault="0048599B" w:rsidP="0048599B">
      <w:pPr>
        <w:rPr>
          <w:rStyle w:val="red"/>
          <w:color w:val="000000" w:themeColor="text1"/>
          <w:sz w:val="22"/>
        </w:rPr>
      </w:pPr>
    </w:p>
    <w:p w14:paraId="56AB45B4" w14:textId="77777777" w:rsidR="0048599B" w:rsidRPr="003101AA" w:rsidRDefault="0048599B" w:rsidP="0048599B">
      <w:pPr>
        <w:rPr>
          <w:rStyle w:val="red"/>
          <w:color w:val="000000" w:themeColor="text1"/>
          <w:sz w:val="22"/>
        </w:rPr>
      </w:pPr>
      <w:proofErr w:type="spellStart"/>
      <w:proofErr w:type="gramStart"/>
      <w:r w:rsidRPr="003101AA">
        <w:rPr>
          <w:rStyle w:val="red"/>
          <w:color w:val="000000" w:themeColor="text1"/>
          <w:sz w:val="22"/>
        </w:rPr>
        <w:t>Pinkus</w:t>
      </w:r>
      <w:proofErr w:type="spellEnd"/>
      <w:r w:rsidRPr="003101AA">
        <w:rPr>
          <w:rStyle w:val="red"/>
          <w:color w:val="000000" w:themeColor="text1"/>
          <w:sz w:val="22"/>
        </w:rPr>
        <w:t xml:space="preserve"> v. Sirius XM Radio, Inc., 2018 WL 3586186 (N.D. Ill. July 26, 2018).</w:t>
      </w:r>
      <w:proofErr w:type="gramEnd"/>
    </w:p>
    <w:p w14:paraId="039DDF70" w14:textId="77777777" w:rsidR="0048599B" w:rsidRPr="008B2637" w:rsidRDefault="0048599B" w:rsidP="0048599B">
      <w:pPr>
        <w:rPr>
          <w:rStyle w:val="red"/>
          <w:color w:val="000000" w:themeColor="text1"/>
        </w:rPr>
      </w:pPr>
    </w:p>
    <w:p w14:paraId="5A918562" w14:textId="77777777" w:rsidR="0048599B" w:rsidRDefault="0048599B" w:rsidP="0048599B">
      <w:pPr>
        <w:pStyle w:val="ListParagraph"/>
        <w:numPr>
          <w:ilvl w:val="0"/>
          <w:numId w:val="3"/>
        </w:numPr>
        <w:rPr>
          <w:rStyle w:val="red"/>
          <w:color w:val="000000" w:themeColor="text1"/>
        </w:rPr>
      </w:pPr>
      <w:r w:rsidRPr="008C2B28">
        <w:rPr>
          <w:rStyle w:val="red"/>
          <w:b/>
          <w:color w:val="000000" w:themeColor="text1"/>
        </w:rPr>
        <w:t>Two courts hold that a</w:t>
      </w:r>
      <w:r w:rsidRPr="008C2B28">
        <w:rPr>
          <w:rStyle w:val="red"/>
          <w:color w:val="000000" w:themeColor="text1"/>
        </w:rPr>
        <w:t xml:space="preserve"> </w:t>
      </w:r>
      <w:r w:rsidRPr="008C2B28">
        <w:rPr>
          <w:rStyle w:val="red"/>
          <w:b/>
          <w:color w:val="000000" w:themeColor="text1"/>
        </w:rPr>
        <w:t>predictive dialer is an ATDS if it selects the next number to be called randomly from a stored list:</w:t>
      </w:r>
    </w:p>
    <w:p w14:paraId="1BB6D533" w14:textId="77777777" w:rsidR="0048599B" w:rsidRPr="001E49EC" w:rsidRDefault="0048599B" w:rsidP="0048599B">
      <w:pPr>
        <w:rPr>
          <w:rStyle w:val="red"/>
          <w:color w:val="000000" w:themeColor="text1"/>
        </w:rPr>
      </w:pPr>
    </w:p>
    <w:p w14:paraId="0696E0FA" w14:textId="0E09CFC2" w:rsidR="00F44418" w:rsidRDefault="0048599B" w:rsidP="00F44418">
      <w:pPr>
        <w:rPr>
          <w:u w:val="single"/>
        </w:rPr>
      </w:pPr>
      <w:proofErr w:type="spellStart"/>
      <w:r w:rsidRPr="003101AA">
        <w:rPr>
          <w:color w:val="000000" w:themeColor="text1"/>
          <w:sz w:val="22"/>
        </w:rPr>
        <w:t>Somogyi</w:t>
      </w:r>
      <w:proofErr w:type="spellEnd"/>
      <w:r w:rsidRPr="003101AA">
        <w:rPr>
          <w:color w:val="000000" w:themeColor="text1"/>
          <w:sz w:val="22"/>
        </w:rPr>
        <w:t xml:space="preserve"> v. Freedom Mortgage Corp., 2018 WL 3656158 (D.N.J. Aug. 2, 2018); </w:t>
      </w:r>
      <w:proofErr w:type="spellStart"/>
      <w:r w:rsidRPr="003101AA">
        <w:rPr>
          <w:color w:val="000000" w:themeColor="text1"/>
          <w:sz w:val="22"/>
        </w:rPr>
        <w:t>Sieleman</w:t>
      </w:r>
      <w:proofErr w:type="spellEnd"/>
      <w:r w:rsidRPr="003101AA">
        <w:rPr>
          <w:color w:val="000000" w:themeColor="text1"/>
          <w:sz w:val="22"/>
        </w:rPr>
        <w:t xml:space="preserve"> v. Freedom Mortgage Corp., 2018 WL 3656159, at *5 (D.N.J. Aug. 2, 2018).</w:t>
      </w:r>
      <w:r w:rsidRPr="0048599B">
        <w:rPr>
          <w:u w:val="single"/>
        </w:rPr>
        <w:t xml:space="preserve"> </w:t>
      </w:r>
    </w:p>
    <w:p w14:paraId="104B90A0" w14:textId="77777777" w:rsidR="00E5134E" w:rsidRDefault="00E5134E" w:rsidP="00F44418">
      <w:pPr>
        <w:rPr>
          <w:u w:val="single"/>
        </w:rPr>
      </w:pPr>
    </w:p>
    <w:p w14:paraId="3DF7F91B" w14:textId="77777777" w:rsidR="00E5134E" w:rsidRDefault="00E5134E" w:rsidP="00F44418">
      <w:pPr>
        <w:rPr>
          <w:u w:val="single"/>
        </w:rPr>
      </w:pPr>
    </w:p>
    <w:p w14:paraId="6D1C5660" w14:textId="77777777" w:rsidR="00E5134E" w:rsidRDefault="00E5134E" w:rsidP="00F44418">
      <w:pPr>
        <w:rPr>
          <w:u w:val="single"/>
        </w:rPr>
      </w:pPr>
    </w:p>
    <w:p w14:paraId="732A8B58" w14:textId="77777777" w:rsidR="00E5134E" w:rsidRDefault="00E5134E" w:rsidP="00F44418">
      <w:pPr>
        <w:rPr>
          <w:u w:val="single"/>
        </w:rPr>
      </w:pPr>
      <w:bookmarkStart w:id="1" w:name="_GoBack"/>
      <w:bookmarkEnd w:id="1"/>
    </w:p>
    <w:p w14:paraId="0EC670AF" w14:textId="30E77193" w:rsidR="00E5134E" w:rsidRDefault="006D049C" w:rsidP="00F44418">
      <w:r>
        <w:t>National Consumer Law Center</w:t>
      </w:r>
    </w:p>
    <w:p w14:paraId="4848EE36" w14:textId="77777777" w:rsidR="006D049C" w:rsidRPr="00E5134E" w:rsidRDefault="006D049C" w:rsidP="00F44418"/>
    <w:sectPr w:rsidR="006D049C" w:rsidRPr="00E5134E" w:rsidSect="00D93829">
      <w:footerReference w:type="even" r:id="rId9"/>
      <w:footerReference w:type="default" r:id="rId10"/>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C04D0" w14:textId="77777777" w:rsidR="00A5538F" w:rsidRDefault="00A5538F" w:rsidP="007361A8">
      <w:r>
        <w:separator/>
      </w:r>
    </w:p>
  </w:endnote>
  <w:endnote w:type="continuationSeparator" w:id="0">
    <w:p w14:paraId="6D2BEE88" w14:textId="77777777" w:rsidR="00A5538F" w:rsidRDefault="00A5538F" w:rsidP="00736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Mincho">
    <w:altName w:val="MS Gothic"/>
    <w:panose1 w:val="00000000000000000000"/>
    <w:charset w:val="80"/>
    <w:family w:val="roman"/>
    <w:notTrueType/>
    <w:pitch w:val="fixed"/>
    <w:sig w:usb0="00000000" w:usb1="08070000" w:usb2="00000010" w:usb3="00000000" w:csb0="0002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EFDC0" w14:textId="77777777" w:rsidR="00A5538F" w:rsidRDefault="00A5538F" w:rsidP="007361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479294" w14:textId="77777777" w:rsidR="00A5538F" w:rsidRDefault="00A5538F" w:rsidP="007361A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BA5E6" w14:textId="77777777" w:rsidR="00A5538F" w:rsidRDefault="00A5538F" w:rsidP="007361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049C">
      <w:rPr>
        <w:rStyle w:val="PageNumber"/>
        <w:noProof/>
      </w:rPr>
      <w:t>5</w:t>
    </w:r>
    <w:r>
      <w:rPr>
        <w:rStyle w:val="PageNumber"/>
      </w:rPr>
      <w:fldChar w:fldCharType="end"/>
    </w:r>
  </w:p>
  <w:p w14:paraId="532A318C" w14:textId="77777777" w:rsidR="00A5538F" w:rsidRDefault="00A5538F" w:rsidP="007361A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E01EB" w14:textId="77777777" w:rsidR="00A5538F" w:rsidRDefault="00A5538F" w:rsidP="007361A8">
      <w:r>
        <w:separator/>
      </w:r>
    </w:p>
  </w:footnote>
  <w:footnote w:type="continuationSeparator" w:id="0">
    <w:p w14:paraId="330026BC" w14:textId="77777777" w:rsidR="00A5538F" w:rsidRDefault="00A5538F" w:rsidP="007361A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01993"/>
    <w:multiLevelType w:val="hybridMultilevel"/>
    <w:tmpl w:val="9976E2F4"/>
    <w:lvl w:ilvl="0" w:tplc="0409000F">
      <w:start w:val="1"/>
      <w:numFmt w:val="decimal"/>
      <w:lvlText w:val="%1."/>
      <w:lvlJc w:val="left"/>
      <w:pPr>
        <w:ind w:left="787"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AC53DF"/>
    <w:multiLevelType w:val="hybridMultilevel"/>
    <w:tmpl w:val="9FEE0D02"/>
    <w:lvl w:ilvl="0" w:tplc="04090019">
      <w:start w:val="1"/>
      <w:numFmt w:val="lowerLetter"/>
      <w:lvlText w:val="%1."/>
      <w:lvlJc w:val="left"/>
      <w:pPr>
        <w:ind w:left="1507" w:hanging="360"/>
      </w:p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2">
    <w:nsid w:val="5BC84614"/>
    <w:multiLevelType w:val="hybridMultilevel"/>
    <w:tmpl w:val="6914C6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869507E"/>
    <w:multiLevelType w:val="hybridMultilevel"/>
    <w:tmpl w:val="6434AB46"/>
    <w:lvl w:ilvl="0" w:tplc="0409000F">
      <w:start w:val="1"/>
      <w:numFmt w:val="decimal"/>
      <w:lvlText w:val="%1."/>
      <w:lvlJc w:val="left"/>
      <w:pPr>
        <w:ind w:left="787" w:hanging="360"/>
      </w:pPr>
    </w:lvl>
    <w:lvl w:ilvl="1" w:tplc="04090019">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418"/>
    <w:rsid w:val="00001395"/>
    <w:rsid w:val="000169A1"/>
    <w:rsid w:val="000848E3"/>
    <w:rsid w:val="000A4538"/>
    <w:rsid w:val="000C7A12"/>
    <w:rsid w:val="000D6ABD"/>
    <w:rsid w:val="000F46C4"/>
    <w:rsid w:val="00104A7F"/>
    <w:rsid w:val="00110335"/>
    <w:rsid w:val="00116E5A"/>
    <w:rsid w:val="001305CB"/>
    <w:rsid w:val="00135799"/>
    <w:rsid w:val="00143051"/>
    <w:rsid w:val="00146E02"/>
    <w:rsid w:val="00155685"/>
    <w:rsid w:val="001A1604"/>
    <w:rsid w:val="001D2707"/>
    <w:rsid w:val="001D2886"/>
    <w:rsid w:val="001E3B5C"/>
    <w:rsid w:val="002064E0"/>
    <w:rsid w:val="00210EDB"/>
    <w:rsid w:val="002213F8"/>
    <w:rsid w:val="00262009"/>
    <w:rsid w:val="00262B43"/>
    <w:rsid w:val="002931A5"/>
    <w:rsid w:val="002C6890"/>
    <w:rsid w:val="002D0895"/>
    <w:rsid w:val="0031001C"/>
    <w:rsid w:val="00315B6F"/>
    <w:rsid w:val="0037002D"/>
    <w:rsid w:val="003874AA"/>
    <w:rsid w:val="003926B8"/>
    <w:rsid w:val="003A503E"/>
    <w:rsid w:val="003C1FBC"/>
    <w:rsid w:val="00413F28"/>
    <w:rsid w:val="004217F8"/>
    <w:rsid w:val="0046549F"/>
    <w:rsid w:val="00477EF2"/>
    <w:rsid w:val="0048599B"/>
    <w:rsid w:val="00491D3A"/>
    <w:rsid w:val="004C3E4B"/>
    <w:rsid w:val="004D388E"/>
    <w:rsid w:val="004F3558"/>
    <w:rsid w:val="00555EF7"/>
    <w:rsid w:val="005767C3"/>
    <w:rsid w:val="005B0672"/>
    <w:rsid w:val="005B1BA9"/>
    <w:rsid w:val="005B4D9D"/>
    <w:rsid w:val="0061077A"/>
    <w:rsid w:val="0061181E"/>
    <w:rsid w:val="00615076"/>
    <w:rsid w:val="0062306F"/>
    <w:rsid w:val="006325C4"/>
    <w:rsid w:val="006325DA"/>
    <w:rsid w:val="00660A60"/>
    <w:rsid w:val="00675925"/>
    <w:rsid w:val="00680EB7"/>
    <w:rsid w:val="00692E38"/>
    <w:rsid w:val="006C7972"/>
    <w:rsid w:val="006D049C"/>
    <w:rsid w:val="006F1D16"/>
    <w:rsid w:val="006F510D"/>
    <w:rsid w:val="00704486"/>
    <w:rsid w:val="00707AD4"/>
    <w:rsid w:val="00720B35"/>
    <w:rsid w:val="00722A56"/>
    <w:rsid w:val="00733907"/>
    <w:rsid w:val="007361A8"/>
    <w:rsid w:val="007416F4"/>
    <w:rsid w:val="00760DDF"/>
    <w:rsid w:val="00763741"/>
    <w:rsid w:val="00767933"/>
    <w:rsid w:val="007733C6"/>
    <w:rsid w:val="007C279E"/>
    <w:rsid w:val="007F741B"/>
    <w:rsid w:val="00827EA2"/>
    <w:rsid w:val="0083463F"/>
    <w:rsid w:val="00834B9C"/>
    <w:rsid w:val="00852641"/>
    <w:rsid w:val="00892B2A"/>
    <w:rsid w:val="0089636D"/>
    <w:rsid w:val="008A5B5E"/>
    <w:rsid w:val="008B399F"/>
    <w:rsid w:val="008C2CD2"/>
    <w:rsid w:val="008F44EA"/>
    <w:rsid w:val="00923FDE"/>
    <w:rsid w:val="00930323"/>
    <w:rsid w:val="00950444"/>
    <w:rsid w:val="00960B22"/>
    <w:rsid w:val="009635D4"/>
    <w:rsid w:val="009663E7"/>
    <w:rsid w:val="00967B6F"/>
    <w:rsid w:val="0097288A"/>
    <w:rsid w:val="00976798"/>
    <w:rsid w:val="009C3270"/>
    <w:rsid w:val="009D73CE"/>
    <w:rsid w:val="009E3060"/>
    <w:rsid w:val="009F04A6"/>
    <w:rsid w:val="00A007E8"/>
    <w:rsid w:val="00A2478E"/>
    <w:rsid w:val="00A2661D"/>
    <w:rsid w:val="00A5538F"/>
    <w:rsid w:val="00A564A9"/>
    <w:rsid w:val="00AA412A"/>
    <w:rsid w:val="00B030A3"/>
    <w:rsid w:val="00B171BC"/>
    <w:rsid w:val="00B259DF"/>
    <w:rsid w:val="00B53EA8"/>
    <w:rsid w:val="00BB4B6F"/>
    <w:rsid w:val="00C10505"/>
    <w:rsid w:val="00C3278E"/>
    <w:rsid w:val="00C3773D"/>
    <w:rsid w:val="00C45ED3"/>
    <w:rsid w:val="00C46E4E"/>
    <w:rsid w:val="00C6478B"/>
    <w:rsid w:val="00C80932"/>
    <w:rsid w:val="00C84973"/>
    <w:rsid w:val="00CB2375"/>
    <w:rsid w:val="00CB624D"/>
    <w:rsid w:val="00CC5959"/>
    <w:rsid w:val="00CD64B4"/>
    <w:rsid w:val="00CD70A9"/>
    <w:rsid w:val="00D1046C"/>
    <w:rsid w:val="00D31F5D"/>
    <w:rsid w:val="00D3508D"/>
    <w:rsid w:val="00D666EF"/>
    <w:rsid w:val="00D7667B"/>
    <w:rsid w:val="00D93829"/>
    <w:rsid w:val="00DA4ACD"/>
    <w:rsid w:val="00DB1E12"/>
    <w:rsid w:val="00E016CE"/>
    <w:rsid w:val="00E058B6"/>
    <w:rsid w:val="00E1597A"/>
    <w:rsid w:val="00E16FBC"/>
    <w:rsid w:val="00E42FAE"/>
    <w:rsid w:val="00E5134E"/>
    <w:rsid w:val="00E61EF8"/>
    <w:rsid w:val="00EB2FAB"/>
    <w:rsid w:val="00EC635B"/>
    <w:rsid w:val="00ED1FB5"/>
    <w:rsid w:val="00F15874"/>
    <w:rsid w:val="00F213C0"/>
    <w:rsid w:val="00F243CA"/>
    <w:rsid w:val="00F24C8B"/>
    <w:rsid w:val="00F305BE"/>
    <w:rsid w:val="00F44418"/>
    <w:rsid w:val="00F927A4"/>
    <w:rsid w:val="00F95B2A"/>
    <w:rsid w:val="00FA0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A5A5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Arial"/>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6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61D"/>
    <w:rPr>
      <w:rFonts w:ascii="Lucida Grande" w:eastAsia="Times New Roman" w:hAnsi="Lucida Grande" w:cs="Lucida Grande"/>
      <w:sz w:val="18"/>
      <w:szCs w:val="18"/>
    </w:rPr>
  </w:style>
  <w:style w:type="paragraph" w:styleId="ListParagraph">
    <w:name w:val="List Paragraph"/>
    <w:basedOn w:val="Normal"/>
    <w:uiPriority w:val="34"/>
    <w:qFormat/>
    <w:rsid w:val="00F44418"/>
    <w:pPr>
      <w:ind w:left="720"/>
      <w:contextualSpacing/>
    </w:pPr>
  </w:style>
  <w:style w:type="character" w:styleId="CommentReference">
    <w:name w:val="annotation reference"/>
    <w:basedOn w:val="DefaultParagraphFont"/>
    <w:uiPriority w:val="99"/>
    <w:semiHidden/>
    <w:unhideWhenUsed/>
    <w:rsid w:val="00F44418"/>
    <w:rPr>
      <w:sz w:val="16"/>
      <w:szCs w:val="16"/>
    </w:rPr>
  </w:style>
  <w:style w:type="paragraph" w:styleId="CommentText">
    <w:name w:val="annotation text"/>
    <w:basedOn w:val="Normal"/>
    <w:link w:val="CommentTextChar"/>
    <w:uiPriority w:val="99"/>
    <w:semiHidden/>
    <w:unhideWhenUsed/>
    <w:rsid w:val="00F44418"/>
    <w:rPr>
      <w:sz w:val="20"/>
      <w:szCs w:val="20"/>
    </w:rPr>
  </w:style>
  <w:style w:type="character" w:customStyle="1" w:styleId="CommentTextChar">
    <w:name w:val="Comment Text Char"/>
    <w:basedOn w:val="DefaultParagraphFont"/>
    <w:link w:val="CommentText"/>
    <w:uiPriority w:val="99"/>
    <w:semiHidden/>
    <w:rsid w:val="00F44418"/>
    <w:rPr>
      <w:sz w:val="20"/>
      <w:szCs w:val="20"/>
    </w:rPr>
  </w:style>
  <w:style w:type="character" w:customStyle="1" w:styleId="red">
    <w:name w:val="red"/>
    <w:rsid w:val="0048599B"/>
    <w:rPr>
      <w:color w:val="FF0000"/>
    </w:rPr>
  </w:style>
  <w:style w:type="character" w:customStyle="1" w:styleId="red-i">
    <w:name w:val="red-i"/>
    <w:rsid w:val="0048599B"/>
    <w:rPr>
      <w:i/>
      <w:color w:val="FF0000"/>
    </w:rPr>
  </w:style>
  <w:style w:type="paragraph" w:customStyle="1" w:styleId="fn">
    <w:name w:val="fn"/>
    <w:rsid w:val="0048599B"/>
    <w:pPr>
      <w:widowControl w:val="0"/>
      <w:ind w:left="360" w:hanging="360"/>
    </w:pPr>
    <w:rPr>
      <w:rFonts w:ascii="Times New Roman" w:eastAsia="Times New Roman" w:hAnsi="Times New Roman" w:cs="Times New Roman"/>
      <w:sz w:val="20"/>
      <w:szCs w:val="20"/>
      <w:lang w:eastAsia="en-US"/>
    </w:rPr>
  </w:style>
  <w:style w:type="paragraph" w:styleId="Footer">
    <w:name w:val="footer"/>
    <w:basedOn w:val="Normal"/>
    <w:link w:val="FooterChar"/>
    <w:uiPriority w:val="99"/>
    <w:unhideWhenUsed/>
    <w:rsid w:val="007361A8"/>
    <w:pPr>
      <w:tabs>
        <w:tab w:val="center" w:pos="4320"/>
        <w:tab w:val="right" w:pos="8640"/>
      </w:tabs>
    </w:pPr>
  </w:style>
  <w:style w:type="character" w:customStyle="1" w:styleId="FooterChar">
    <w:name w:val="Footer Char"/>
    <w:basedOn w:val="DefaultParagraphFont"/>
    <w:link w:val="Footer"/>
    <w:uiPriority w:val="99"/>
    <w:rsid w:val="007361A8"/>
  </w:style>
  <w:style w:type="character" w:styleId="PageNumber">
    <w:name w:val="page number"/>
    <w:basedOn w:val="DefaultParagraphFont"/>
    <w:uiPriority w:val="99"/>
    <w:semiHidden/>
    <w:unhideWhenUsed/>
    <w:rsid w:val="007361A8"/>
  </w:style>
  <w:style w:type="paragraph" w:styleId="CommentSubject">
    <w:name w:val="annotation subject"/>
    <w:basedOn w:val="CommentText"/>
    <w:next w:val="CommentText"/>
    <w:link w:val="CommentSubjectChar"/>
    <w:uiPriority w:val="99"/>
    <w:semiHidden/>
    <w:unhideWhenUsed/>
    <w:rsid w:val="009635D4"/>
    <w:rPr>
      <w:b/>
      <w:bCs/>
    </w:rPr>
  </w:style>
  <w:style w:type="character" w:customStyle="1" w:styleId="CommentSubjectChar">
    <w:name w:val="Comment Subject Char"/>
    <w:basedOn w:val="CommentTextChar"/>
    <w:link w:val="CommentSubject"/>
    <w:uiPriority w:val="99"/>
    <w:semiHidden/>
    <w:rsid w:val="009635D4"/>
    <w:rPr>
      <w:b/>
      <w:bCs/>
      <w:sz w:val="20"/>
      <w:szCs w:val="20"/>
    </w:rPr>
  </w:style>
  <w:style w:type="paragraph" w:styleId="Revision">
    <w:name w:val="Revision"/>
    <w:hidden/>
    <w:uiPriority w:val="99"/>
    <w:semiHidden/>
    <w:rsid w:val="0097288A"/>
  </w:style>
  <w:style w:type="character" w:styleId="Strong">
    <w:name w:val="Strong"/>
    <w:basedOn w:val="DefaultParagraphFont"/>
    <w:uiPriority w:val="22"/>
    <w:qFormat/>
    <w:rsid w:val="00F1587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Arial"/>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6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61D"/>
    <w:rPr>
      <w:rFonts w:ascii="Lucida Grande" w:eastAsia="Times New Roman" w:hAnsi="Lucida Grande" w:cs="Lucida Grande"/>
      <w:sz w:val="18"/>
      <w:szCs w:val="18"/>
    </w:rPr>
  </w:style>
  <w:style w:type="paragraph" w:styleId="ListParagraph">
    <w:name w:val="List Paragraph"/>
    <w:basedOn w:val="Normal"/>
    <w:uiPriority w:val="34"/>
    <w:qFormat/>
    <w:rsid w:val="00F44418"/>
    <w:pPr>
      <w:ind w:left="720"/>
      <w:contextualSpacing/>
    </w:pPr>
  </w:style>
  <w:style w:type="character" w:styleId="CommentReference">
    <w:name w:val="annotation reference"/>
    <w:basedOn w:val="DefaultParagraphFont"/>
    <w:uiPriority w:val="99"/>
    <w:semiHidden/>
    <w:unhideWhenUsed/>
    <w:rsid w:val="00F44418"/>
    <w:rPr>
      <w:sz w:val="16"/>
      <w:szCs w:val="16"/>
    </w:rPr>
  </w:style>
  <w:style w:type="paragraph" w:styleId="CommentText">
    <w:name w:val="annotation text"/>
    <w:basedOn w:val="Normal"/>
    <w:link w:val="CommentTextChar"/>
    <w:uiPriority w:val="99"/>
    <w:semiHidden/>
    <w:unhideWhenUsed/>
    <w:rsid w:val="00F44418"/>
    <w:rPr>
      <w:sz w:val="20"/>
      <w:szCs w:val="20"/>
    </w:rPr>
  </w:style>
  <w:style w:type="character" w:customStyle="1" w:styleId="CommentTextChar">
    <w:name w:val="Comment Text Char"/>
    <w:basedOn w:val="DefaultParagraphFont"/>
    <w:link w:val="CommentText"/>
    <w:uiPriority w:val="99"/>
    <w:semiHidden/>
    <w:rsid w:val="00F44418"/>
    <w:rPr>
      <w:sz w:val="20"/>
      <w:szCs w:val="20"/>
    </w:rPr>
  </w:style>
  <w:style w:type="character" w:customStyle="1" w:styleId="red">
    <w:name w:val="red"/>
    <w:rsid w:val="0048599B"/>
    <w:rPr>
      <w:color w:val="FF0000"/>
    </w:rPr>
  </w:style>
  <w:style w:type="character" w:customStyle="1" w:styleId="red-i">
    <w:name w:val="red-i"/>
    <w:rsid w:val="0048599B"/>
    <w:rPr>
      <w:i/>
      <w:color w:val="FF0000"/>
    </w:rPr>
  </w:style>
  <w:style w:type="paragraph" w:customStyle="1" w:styleId="fn">
    <w:name w:val="fn"/>
    <w:rsid w:val="0048599B"/>
    <w:pPr>
      <w:widowControl w:val="0"/>
      <w:ind w:left="360" w:hanging="360"/>
    </w:pPr>
    <w:rPr>
      <w:rFonts w:ascii="Times New Roman" w:eastAsia="Times New Roman" w:hAnsi="Times New Roman" w:cs="Times New Roman"/>
      <w:sz w:val="20"/>
      <w:szCs w:val="20"/>
      <w:lang w:eastAsia="en-US"/>
    </w:rPr>
  </w:style>
  <w:style w:type="paragraph" w:styleId="Footer">
    <w:name w:val="footer"/>
    <w:basedOn w:val="Normal"/>
    <w:link w:val="FooterChar"/>
    <w:uiPriority w:val="99"/>
    <w:unhideWhenUsed/>
    <w:rsid w:val="007361A8"/>
    <w:pPr>
      <w:tabs>
        <w:tab w:val="center" w:pos="4320"/>
        <w:tab w:val="right" w:pos="8640"/>
      </w:tabs>
    </w:pPr>
  </w:style>
  <w:style w:type="character" w:customStyle="1" w:styleId="FooterChar">
    <w:name w:val="Footer Char"/>
    <w:basedOn w:val="DefaultParagraphFont"/>
    <w:link w:val="Footer"/>
    <w:uiPriority w:val="99"/>
    <w:rsid w:val="007361A8"/>
  </w:style>
  <w:style w:type="character" w:styleId="PageNumber">
    <w:name w:val="page number"/>
    <w:basedOn w:val="DefaultParagraphFont"/>
    <w:uiPriority w:val="99"/>
    <w:semiHidden/>
    <w:unhideWhenUsed/>
    <w:rsid w:val="007361A8"/>
  </w:style>
  <w:style w:type="paragraph" w:styleId="CommentSubject">
    <w:name w:val="annotation subject"/>
    <w:basedOn w:val="CommentText"/>
    <w:next w:val="CommentText"/>
    <w:link w:val="CommentSubjectChar"/>
    <w:uiPriority w:val="99"/>
    <w:semiHidden/>
    <w:unhideWhenUsed/>
    <w:rsid w:val="009635D4"/>
    <w:rPr>
      <w:b/>
      <w:bCs/>
    </w:rPr>
  </w:style>
  <w:style w:type="character" w:customStyle="1" w:styleId="CommentSubjectChar">
    <w:name w:val="Comment Subject Char"/>
    <w:basedOn w:val="CommentTextChar"/>
    <w:link w:val="CommentSubject"/>
    <w:uiPriority w:val="99"/>
    <w:semiHidden/>
    <w:rsid w:val="009635D4"/>
    <w:rPr>
      <w:b/>
      <w:bCs/>
      <w:sz w:val="20"/>
      <w:szCs w:val="20"/>
    </w:rPr>
  </w:style>
  <w:style w:type="paragraph" w:styleId="Revision">
    <w:name w:val="Revision"/>
    <w:hidden/>
    <w:uiPriority w:val="99"/>
    <w:semiHidden/>
    <w:rsid w:val="0097288A"/>
  </w:style>
  <w:style w:type="character" w:styleId="Strong">
    <w:name w:val="Strong"/>
    <w:basedOn w:val="DefaultParagraphFont"/>
    <w:uiPriority w:val="22"/>
    <w:qFormat/>
    <w:rsid w:val="00F158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849005">
      <w:bodyDiv w:val="1"/>
      <w:marLeft w:val="0"/>
      <w:marRight w:val="0"/>
      <w:marTop w:val="0"/>
      <w:marBottom w:val="0"/>
      <w:divBdr>
        <w:top w:val="none" w:sz="0" w:space="0" w:color="auto"/>
        <w:left w:val="none" w:sz="0" w:space="0" w:color="auto"/>
        <w:bottom w:val="none" w:sz="0" w:space="0" w:color="auto"/>
        <w:right w:val="none" w:sz="0" w:space="0" w:color="auto"/>
      </w:divBdr>
    </w:div>
    <w:div w:id="17732860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1.next.westlaw.com/Link/Document/FullText?findType=Y&amp;serNum=2033402795&amp;pubNum=0007903&amp;originatingDoc=I4f4dd4005e2d11e88808c81b5a222cba&amp;refType=RP&amp;fi=co_pp_sp_7903_1374&amp;originationContext=document&amp;transitionType=DocumentItem&amp;contextData=(sc.UserEnteredCitation)"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2064</Words>
  <Characters>11767</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Margot Saunders</dc:creator>
  <cp:lastModifiedBy>Margot Saunders</cp:lastModifiedBy>
  <cp:revision>6</cp:revision>
  <dcterms:created xsi:type="dcterms:W3CDTF">2018-09-05T15:05:00Z</dcterms:created>
  <dcterms:modified xsi:type="dcterms:W3CDTF">2018-09-16T15:11:00Z</dcterms:modified>
</cp:coreProperties>
</file>