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3FC9E" w14:textId="77777777" w:rsidR="002A5106" w:rsidRDefault="002A5106" w:rsidP="002A5106">
      <w:pPr>
        <w:tabs>
          <w:tab w:val="left" w:pos="3345"/>
        </w:tabs>
        <w:spacing w:before="0" w:line="200" w:lineRule="auto"/>
      </w:pPr>
      <w:bookmarkStart w:id="0" w:name="dbreak"/>
      <w:bookmarkEnd w:id="0"/>
    </w:p>
    <w:p w14:paraId="0BAF27C5" w14:textId="77777777" w:rsidR="002A5106" w:rsidRDefault="002A5106" w:rsidP="002A5106">
      <w:pPr>
        <w:spacing w:before="0" w:line="260" w:lineRule="auto"/>
      </w:pPr>
    </w:p>
    <w:p w14:paraId="59957965" w14:textId="77777777" w:rsidR="002A5106" w:rsidRDefault="002A5106" w:rsidP="002A5106">
      <w:pPr>
        <w:spacing w:before="0"/>
        <w:jc w:val="center"/>
        <w:rPr>
          <w:b/>
        </w:rPr>
      </w:pPr>
      <w:r>
        <w:rPr>
          <w:b/>
        </w:rPr>
        <w:t>UNITED STATES OF AMERICA</w:t>
      </w:r>
    </w:p>
    <w:p w14:paraId="565F06CF" w14:textId="77777777" w:rsidR="002A5106" w:rsidRDefault="002A5106" w:rsidP="002A5106">
      <w:pPr>
        <w:spacing w:before="0"/>
        <w:ind w:left="2560"/>
      </w:pPr>
    </w:p>
    <w:p w14:paraId="16951B5A" w14:textId="77777777" w:rsidR="002A5106" w:rsidRPr="00E92853" w:rsidRDefault="002A5106" w:rsidP="002A5106">
      <w:pPr>
        <w:spacing w:before="0"/>
        <w:jc w:val="center"/>
      </w:pPr>
      <w:r>
        <w:t xml:space="preserve">DRAFT </w:t>
      </w:r>
      <w:r w:rsidRPr="00E92853">
        <w:t>PROPOSAL</w:t>
      </w:r>
      <w:r>
        <w:t>S</w:t>
      </w:r>
      <w:r w:rsidRPr="00E92853">
        <w:t xml:space="preserve"> FOR THE WORK OF THE CONFERENCE</w:t>
      </w:r>
    </w:p>
    <w:p w14:paraId="7147119A" w14:textId="77777777" w:rsidR="002A5106" w:rsidRDefault="002A5106" w:rsidP="002A5106">
      <w:pPr>
        <w:spacing w:before="0" w:line="314" w:lineRule="auto"/>
      </w:pPr>
    </w:p>
    <w:p w14:paraId="4E7B2CD7" w14:textId="77777777" w:rsidR="00EC272C" w:rsidRDefault="00EC272C" w:rsidP="008C20ED">
      <w:pPr>
        <w:jc w:val="center"/>
        <w:rPr>
          <w:b/>
        </w:rPr>
      </w:pPr>
      <w:r w:rsidRPr="00EC272C">
        <w:rPr>
          <w:b/>
        </w:rPr>
        <w:t>Agenda Item 1.</w:t>
      </w:r>
      <w:r w:rsidR="001D1A1C">
        <w:rPr>
          <w:b/>
        </w:rPr>
        <w:t>13</w:t>
      </w:r>
    </w:p>
    <w:p w14:paraId="66742386" w14:textId="77777777" w:rsidR="000C604E" w:rsidRPr="00EC272C" w:rsidRDefault="000C604E" w:rsidP="00C95B12">
      <w:pPr>
        <w:spacing w:before="0"/>
        <w:jc w:val="both"/>
        <w:rPr>
          <w:b/>
          <w:iCs/>
        </w:rPr>
      </w:pPr>
    </w:p>
    <w:p w14:paraId="1083A958" w14:textId="77777777" w:rsidR="006C1EC5" w:rsidRPr="006C1EC5" w:rsidRDefault="006C1EC5" w:rsidP="00573DDD">
      <w:pPr>
        <w:widowControl w:val="0"/>
        <w:jc w:val="both"/>
        <w:rPr>
          <w:szCs w:val="24"/>
        </w:rPr>
      </w:pPr>
      <w:r>
        <w:rPr>
          <w:b/>
          <w:szCs w:val="24"/>
        </w:rPr>
        <w:t xml:space="preserve">Agenda Item 1.13: </w:t>
      </w:r>
      <w:r w:rsidRPr="006C1EC5">
        <w:rPr>
          <w:i/>
          <w:szCs w:val="24"/>
        </w:rPr>
        <w:t>to consider identification of frequency bands for the future development of International Mobile Telecommunications (IMT), including possible additional allocations to the mobile service on a primary basis, in accordance</w:t>
      </w:r>
      <w:r>
        <w:rPr>
          <w:i/>
          <w:szCs w:val="24"/>
        </w:rPr>
        <w:t xml:space="preserve"> </w:t>
      </w:r>
      <w:r w:rsidRPr="001D1A1C">
        <w:rPr>
          <w:i/>
          <w:iCs/>
        </w:rPr>
        <w:t>with Resolution </w:t>
      </w:r>
      <w:r w:rsidRPr="00064B24">
        <w:rPr>
          <w:b/>
          <w:bCs/>
          <w:iCs/>
        </w:rPr>
        <w:t>238 (WRC-15)</w:t>
      </w:r>
    </w:p>
    <w:p w14:paraId="26044A65" w14:textId="77777777" w:rsidR="00B35642" w:rsidRDefault="00B35642" w:rsidP="00573DDD">
      <w:pPr>
        <w:widowControl w:val="0"/>
        <w:jc w:val="both"/>
        <w:rPr>
          <w:b/>
          <w:szCs w:val="24"/>
        </w:rPr>
      </w:pPr>
    </w:p>
    <w:p w14:paraId="0DA6CBBA" w14:textId="77777777" w:rsidR="00573DDD" w:rsidRPr="00C95B12" w:rsidRDefault="005D4CFD" w:rsidP="00573DDD">
      <w:pPr>
        <w:widowControl w:val="0"/>
        <w:jc w:val="both"/>
        <w:rPr>
          <w:b/>
          <w:sz w:val="22"/>
          <w:szCs w:val="22"/>
        </w:rPr>
      </w:pPr>
      <w:r w:rsidRPr="00C95B12">
        <w:rPr>
          <w:b/>
          <w:szCs w:val="24"/>
        </w:rPr>
        <w:t>Background</w:t>
      </w:r>
      <w:r w:rsidR="00B93186" w:rsidRPr="00C95B12">
        <w:rPr>
          <w:b/>
          <w:szCs w:val="24"/>
        </w:rPr>
        <w:t xml:space="preserve"> Information:  </w:t>
      </w:r>
      <w:bookmarkStart w:id="1" w:name="_GoBack"/>
      <w:bookmarkEnd w:id="1"/>
    </w:p>
    <w:p w14:paraId="545DF0A3" w14:textId="6C433F36" w:rsidR="006E2F14" w:rsidRDefault="00FB2BC3" w:rsidP="006E2F14">
      <w:pPr>
        <w:widowControl w:val="0"/>
        <w:ind w:right="120"/>
        <w:rPr>
          <w:ins w:id="2" w:author="rev1" w:date="2018-09-17T02:27:00Z"/>
          <w:szCs w:val="24"/>
        </w:rPr>
      </w:pPr>
      <w:ins w:id="3" w:author="rev1" w:date="2018-09-17T01:28:00Z">
        <w:r w:rsidRPr="00DE57FD">
          <w:t>Mobile broadband plays a</w:t>
        </w:r>
        <w:r>
          <w:t>n increasingly</w:t>
        </w:r>
        <w:r w:rsidRPr="00DE57FD">
          <w:t xml:space="preserve"> crucial role in providing access to busi</w:t>
        </w:r>
        <w:r>
          <w:t xml:space="preserve">nesses and consumers worldwide.  </w:t>
        </w:r>
        <w:r w:rsidRPr="00DE57FD">
          <w:t>According to I</w:t>
        </w:r>
        <w:r>
          <w:t xml:space="preserve">nternational </w:t>
        </w:r>
        <w:r w:rsidRPr="00DE57FD">
          <w:t>T</w:t>
        </w:r>
        <w:r>
          <w:t xml:space="preserve">elecommunications </w:t>
        </w:r>
        <w:r w:rsidRPr="00DE57FD">
          <w:t>U</w:t>
        </w:r>
        <w:r>
          <w:t>nion (ITU)</w:t>
        </w:r>
        <w:r w:rsidRPr="00DE57FD">
          <w:t xml:space="preserve"> statistics, “Mobile-broadband subscriptions have grown more than 20% annually in the last</w:t>
        </w:r>
        <w:r>
          <w:t xml:space="preserve"> five years and are expected to </w:t>
        </w:r>
        <w:r w:rsidRPr="00DE57FD">
          <w:t>reach 4.3 billion globally by end 2017</w:t>
        </w:r>
        <w:r>
          <w:t xml:space="preserve">.” while “Mobile-broadband prices as a </w:t>
        </w:r>
        <w:r w:rsidRPr="00DE57FD">
          <w:t>percentage of GNI per capita</w:t>
        </w:r>
        <w:r>
          <w:t xml:space="preserve"> halved between 2013 and 2016 </w:t>
        </w:r>
        <w:r w:rsidRPr="00DE57FD">
          <w:t>worldwide.</w:t>
        </w:r>
        <w:r>
          <w:rPr>
            <w:rStyle w:val="FootnoteReference"/>
          </w:rPr>
          <w:footnoteReference w:id="1"/>
        </w:r>
        <w:r>
          <w:t xml:space="preserve"> </w:t>
        </w:r>
      </w:ins>
      <w:ins w:id="6" w:author="rev1" w:date="2018-09-17T02:24:00Z">
        <w:r w:rsidR="006E2F14">
          <w:t xml:space="preserve">  </w:t>
        </w:r>
        <w:r w:rsidR="006E2F14" w:rsidRPr="00747F21">
          <w:rPr>
            <w:szCs w:val="24"/>
          </w:rPr>
          <w:t xml:space="preserve">Incredible technological innovation has enabled the use of higher frequency bands (e.g. mmWave) to help meet the ever-increasing demand for mobile broadband.  </w:t>
        </w:r>
      </w:ins>
    </w:p>
    <w:p w14:paraId="23E710DB" w14:textId="5E45E0F8" w:rsidR="006E2F14" w:rsidRPr="006E2F14" w:rsidRDefault="006E2F14" w:rsidP="006E2F14">
      <w:pPr>
        <w:jc w:val="both"/>
        <w:rPr>
          <w:ins w:id="7" w:author="rev1" w:date="2018-09-17T02:24:00Z"/>
          <w:szCs w:val="24"/>
        </w:rPr>
      </w:pPr>
      <w:ins w:id="8" w:author="rev1" w:date="2018-09-17T02:26:00Z">
        <w:r>
          <w:t xml:space="preserve">The 47.2-50.2 GHz frequency range is shared on a co-primary basis between the Fixed, Fixed Satellite and Mobile Services in all three Regions.  As part of the preparations for WRC-19 agenda item 1.13, </w:t>
        </w:r>
        <w:r>
          <w:t xml:space="preserve">ITU-R </w:t>
        </w:r>
      </w:ins>
      <w:ins w:id="9" w:author="rev1" w:date="2018-09-17T02:27:00Z">
        <w:r w:rsidRPr="0055540A">
          <w:rPr>
            <w:szCs w:val="24"/>
          </w:rPr>
          <w:t xml:space="preserve">carried out extensive sharing and compatibility studies: these studies show that sharing between the terrestrial component of </w:t>
        </w:r>
        <w:r>
          <w:rPr>
            <w:szCs w:val="24"/>
          </w:rPr>
          <w:t>IMT and the Fi</w:t>
        </w:r>
      </w:ins>
      <w:ins w:id="10" w:author="rev1" w:date="2018-09-17T02:28:00Z">
        <w:r>
          <w:rPr>
            <w:szCs w:val="24"/>
          </w:rPr>
          <w:t xml:space="preserve">xed Satellite Service is </w:t>
        </w:r>
      </w:ins>
      <w:ins w:id="11" w:author="rev1" w:date="2018-09-17T02:27:00Z">
        <w:r>
          <w:rPr>
            <w:szCs w:val="24"/>
          </w:rPr>
          <w:t>feasible with a</w:t>
        </w:r>
      </w:ins>
      <w:ins w:id="12" w:author="rev1" w:date="2018-09-17T02:26:00Z">
        <w:r>
          <w:t xml:space="preserve"> large interference margin</w:t>
        </w:r>
      </w:ins>
      <w:ins w:id="13" w:author="rev1" w:date="2018-09-17T02:28:00Z">
        <w:r>
          <w:t xml:space="preserve"> </w:t>
        </w:r>
      </w:ins>
      <w:ins w:id="14" w:author="rev1" w:date="2018-09-17T02:26:00Z">
        <w:r>
          <w:t>in the 47.2-50.2 GHz frequency range</w:t>
        </w:r>
      </w:ins>
      <w:ins w:id="15" w:author="rev1" w:date="2018-09-17T02:29:00Z">
        <w:r>
          <w:t>.</w:t>
        </w:r>
      </w:ins>
      <w:ins w:id="16" w:author="rev1" w:date="2018-09-17T02:26:00Z">
        <w:r>
          <w:rPr>
            <w:lang w:eastAsia="ja-JP"/>
          </w:rPr>
          <w:t xml:space="preserve"> </w:t>
        </w:r>
      </w:ins>
    </w:p>
    <w:p w14:paraId="412B19D7" w14:textId="3D51ED61" w:rsidR="006E2F14" w:rsidRPr="00747F21" w:rsidRDefault="006E2F14" w:rsidP="006E2F14">
      <w:pPr>
        <w:rPr>
          <w:ins w:id="17" w:author="rev1" w:date="2018-09-17T02:24:00Z"/>
          <w:szCs w:val="24"/>
        </w:rPr>
      </w:pPr>
      <w:ins w:id="18" w:author="rev1" w:date="2018-09-17T02:24:00Z">
        <w:r w:rsidRPr="00747F21">
          <w:rPr>
            <w:szCs w:val="24"/>
          </w:rPr>
          <w:t>The harmonization of spectrum for mobile broadband provide benefits to consumers and businesses through economie</w:t>
        </w:r>
        <w:r>
          <w:rPr>
            <w:szCs w:val="24"/>
          </w:rPr>
          <w:t>s of scale and global roaming.</w:t>
        </w:r>
      </w:ins>
      <w:ins w:id="19" w:author="rev1" w:date="2018-09-17T02:29:00Z">
        <w:r>
          <w:rPr>
            <w:szCs w:val="24"/>
          </w:rPr>
          <w:t xml:space="preserve">  </w:t>
        </w:r>
      </w:ins>
      <w:ins w:id="20" w:author="rev1" w:date="2018-09-17T02:24:00Z">
        <w:r w:rsidRPr="00747F21">
          <w:rPr>
            <w:szCs w:val="24"/>
          </w:rPr>
          <w:t>However</w:t>
        </w:r>
      </w:ins>
      <w:ins w:id="21" w:author="rev1" w:date="2018-09-17T02:32:00Z">
        <w:r>
          <w:rPr>
            <w:szCs w:val="24"/>
          </w:rPr>
          <w:t>,</w:t>
        </w:r>
      </w:ins>
      <w:ins w:id="22" w:author="rev1" w:date="2018-09-17T02:24:00Z">
        <w:r w:rsidRPr="00747F21">
          <w:rPr>
            <w:szCs w:val="24"/>
          </w:rPr>
          <w:t xml:space="preserve"> </w:t>
        </w:r>
      </w:ins>
      <w:ins w:id="23" w:author="rev1" w:date="2018-09-17T02:29:00Z">
        <w:r>
          <w:rPr>
            <w:szCs w:val="24"/>
          </w:rPr>
          <w:t xml:space="preserve">Administrations may be </w:t>
        </w:r>
      </w:ins>
      <w:ins w:id="24" w:author="rev1" w:date="2018-09-17T02:24:00Z">
        <w:r w:rsidRPr="00747F21">
          <w:rPr>
            <w:szCs w:val="24"/>
          </w:rPr>
          <w:t>unable to make spectrum available in the exact same frequency bands due to different existing uses</w:t>
        </w:r>
        <w:r>
          <w:rPr>
            <w:szCs w:val="24"/>
          </w:rPr>
          <w:t xml:space="preserve"> and priorities.  Therefore</w:t>
        </w:r>
        <w:r w:rsidRPr="00747F21">
          <w:rPr>
            <w:szCs w:val="24"/>
          </w:rPr>
          <w:t>, in order to achieve the benefits of harmonization while allowing regulators the flexibility to assign spectrum within this range for domestic use as appropri</w:t>
        </w:r>
        <w:r>
          <w:rPr>
            <w:szCs w:val="24"/>
          </w:rPr>
          <w:t xml:space="preserve">ate, </w:t>
        </w:r>
      </w:ins>
      <w:ins w:id="25" w:author="rev1" w:date="2018-09-17T02:30:00Z">
        <w:r>
          <w:rPr>
            <w:szCs w:val="24"/>
          </w:rPr>
          <w:t>an</w:t>
        </w:r>
      </w:ins>
      <w:ins w:id="26" w:author="rev1" w:date="2018-09-17T02:24:00Z">
        <w:r w:rsidRPr="00747F21">
          <w:rPr>
            <w:szCs w:val="24"/>
          </w:rPr>
          <w:t xml:space="preserve"> identification for IMT</w:t>
        </w:r>
        <w:r>
          <w:rPr>
            <w:szCs w:val="24"/>
          </w:rPr>
          <w:t xml:space="preserve"> is proposed </w:t>
        </w:r>
      </w:ins>
      <w:ins w:id="27" w:author="rev1" w:date="2018-09-17T02:30:00Z">
        <w:r>
          <w:rPr>
            <w:szCs w:val="24"/>
          </w:rPr>
          <w:t>in</w:t>
        </w:r>
      </w:ins>
      <w:ins w:id="28" w:author="rev1" w:date="2018-09-17T02:24:00Z">
        <w:r w:rsidRPr="00747F21">
          <w:rPr>
            <w:szCs w:val="24"/>
          </w:rPr>
          <w:t xml:space="preserve"> </w:t>
        </w:r>
        <w:r>
          <w:rPr>
            <w:szCs w:val="24"/>
          </w:rPr>
          <w:t xml:space="preserve">the 47.2-50.2 </w:t>
        </w:r>
        <w:r w:rsidRPr="00747F21">
          <w:rPr>
            <w:szCs w:val="24"/>
          </w:rPr>
          <w:t>GHz frequency range</w:t>
        </w:r>
      </w:ins>
      <w:ins w:id="29" w:author="rev1" w:date="2018-09-17T02:30:00Z">
        <w:r>
          <w:rPr>
            <w:szCs w:val="24"/>
          </w:rPr>
          <w:t xml:space="preserve">.  </w:t>
        </w:r>
      </w:ins>
      <w:ins w:id="30" w:author="rev1" w:date="2018-09-17T02:24:00Z">
        <w:r w:rsidRPr="00747F21">
          <w:rPr>
            <w:szCs w:val="24"/>
          </w:rPr>
          <w:t>A global identification for IMT in 47.2-50.2 GHz would allow each country/</w:t>
        </w:r>
        <w:r>
          <w:rPr>
            <w:szCs w:val="24"/>
          </w:rPr>
          <w:t xml:space="preserve">region to assign spectrum for </w:t>
        </w:r>
      </w:ins>
      <w:ins w:id="31" w:author="rev1" w:date="2018-09-17T02:31:00Z">
        <w:r>
          <w:rPr>
            <w:szCs w:val="24"/>
          </w:rPr>
          <w:t>IMT</w:t>
        </w:r>
      </w:ins>
      <w:ins w:id="32" w:author="rev1" w:date="2018-09-17T02:24:00Z">
        <w:r w:rsidRPr="00747F21">
          <w:rPr>
            <w:szCs w:val="24"/>
          </w:rPr>
          <w:t xml:space="preserve"> consistent with their domestic use and priorities, while still facilitating the benefits of economies of scale for businesses and consumers.</w:t>
        </w:r>
      </w:ins>
    </w:p>
    <w:p w14:paraId="4F283AA9" w14:textId="4B35C697" w:rsidR="006E2F14" w:rsidRPr="00D73DF9" w:rsidRDefault="00D73DF9" w:rsidP="006E2F14">
      <w:pPr>
        <w:rPr>
          <w:ins w:id="33" w:author="rev1" w:date="2018-09-17T02:24:00Z"/>
          <w:szCs w:val="24"/>
        </w:rPr>
      </w:pPr>
      <w:ins w:id="34" w:author="rev1" w:date="2018-09-17T02:39:00Z">
        <w:r>
          <w:rPr>
            <w:szCs w:val="24"/>
          </w:rPr>
          <w:t xml:space="preserve">Finally, </w:t>
        </w:r>
      </w:ins>
      <w:ins w:id="35" w:author="rev1" w:date="2018-09-17T02:32:00Z">
        <w:r>
          <w:rPr>
            <w:szCs w:val="24"/>
          </w:rPr>
          <w:t>t</w:t>
        </w:r>
      </w:ins>
      <w:ins w:id="36" w:author="rev1" w:date="2018-09-17T02:24:00Z">
        <w:r w:rsidR="006E2F14" w:rsidRPr="00747F21">
          <w:rPr>
            <w:szCs w:val="24"/>
          </w:rPr>
          <w:t xml:space="preserve">here is no need for a WRC Resolution specifying technical and operational constraints on IMT to be associated with this proposed identification for IMT.  Operational characteristics that are used by cellular providers, </w:t>
        </w:r>
        <w:r w:rsidR="006E2F14">
          <w:rPr>
            <w:szCs w:val="24"/>
          </w:rPr>
          <w:t xml:space="preserve">such as base station downtilt, </w:t>
        </w:r>
        <w:r w:rsidR="006E2F14" w:rsidRPr="00747F21">
          <w:rPr>
            <w:szCs w:val="24"/>
          </w:rPr>
          <w:t>that change on time scales needed to minimize intra- and inter-cell interference and also guarantee quality of service should not be encoded in the Radio Regulations.</w:t>
        </w:r>
      </w:ins>
      <w:ins w:id="37" w:author="rev1" w:date="2018-09-17T02:40:00Z">
        <w:r>
          <w:rPr>
            <w:szCs w:val="24"/>
          </w:rPr>
          <w:t xml:space="preserve">  Similarly, </w:t>
        </w:r>
      </w:ins>
      <w:ins w:id="38" w:author="rev1" w:date="2018-09-17T02:24:00Z">
        <w:r w:rsidR="006E2F14" w:rsidRPr="00747F21">
          <w:rPr>
            <w:szCs w:val="24"/>
          </w:rPr>
          <w:t xml:space="preserve">with regards to the use of </w:t>
        </w:r>
        <w:r w:rsidR="006E2F14">
          <w:rPr>
            <w:szCs w:val="24"/>
          </w:rPr>
          <w:t xml:space="preserve">the band by </w:t>
        </w:r>
      </w:ins>
      <w:ins w:id="39" w:author="rev1" w:date="2018-09-17T02:35:00Z">
        <w:r w:rsidR="006E2F14">
          <w:rPr>
            <w:szCs w:val="24"/>
          </w:rPr>
          <w:t>high density</w:t>
        </w:r>
      </w:ins>
      <w:ins w:id="40" w:author="rev1" w:date="2018-09-17T02:24:00Z">
        <w:r w:rsidR="006E2F14">
          <w:rPr>
            <w:szCs w:val="24"/>
          </w:rPr>
          <w:t xml:space="preserve"> applications </w:t>
        </w:r>
      </w:ins>
      <w:ins w:id="41" w:author="rev1" w:date="2018-09-17T02:35:00Z">
        <w:r w:rsidR="006E2F14">
          <w:rPr>
            <w:szCs w:val="24"/>
          </w:rPr>
          <w:t>in</w:t>
        </w:r>
      </w:ins>
      <w:ins w:id="42" w:author="rev1" w:date="2018-09-17T02:24:00Z">
        <w:r w:rsidR="006E2F14">
          <w:rPr>
            <w:szCs w:val="24"/>
          </w:rPr>
          <w:t xml:space="preserve"> the FSS (</w:t>
        </w:r>
      </w:ins>
      <w:ins w:id="43" w:author="rev1" w:date="2018-09-17T02:36:00Z">
        <w:r w:rsidR="006E2F14" w:rsidRPr="00D73DF9">
          <w:rPr>
            <w:szCs w:val="24"/>
          </w:rPr>
          <w:t xml:space="preserve">No. </w:t>
        </w:r>
      </w:ins>
      <w:ins w:id="44" w:author="rev1" w:date="2018-09-17T02:24:00Z">
        <w:r w:rsidR="006E2F14" w:rsidRPr="00D73DF9">
          <w:rPr>
            <w:b/>
            <w:szCs w:val="24"/>
          </w:rPr>
          <w:t>5.561B</w:t>
        </w:r>
        <w:r w:rsidR="006E2F14">
          <w:rPr>
            <w:szCs w:val="24"/>
          </w:rPr>
          <w:t>)</w:t>
        </w:r>
        <w:r w:rsidR="006E2F14" w:rsidRPr="00747F21">
          <w:rPr>
            <w:szCs w:val="24"/>
          </w:rPr>
          <w:t xml:space="preserve">, no condition </w:t>
        </w:r>
        <w:r>
          <w:rPr>
            <w:szCs w:val="24"/>
          </w:rPr>
          <w:t>is required to achieve a</w:t>
        </w:r>
        <w:r w:rsidR="006E2F14" w:rsidRPr="00747F21">
          <w:rPr>
            <w:szCs w:val="24"/>
          </w:rPr>
          <w:t xml:space="preserve"> balance of spectrum  between FSS and IMT since this is a national matter and hence should not be included in any </w:t>
        </w:r>
      </w:ins>
      <w:ins w:id="45" w:author="rev1" w:date="2018-09-17T02:43:00Z">
        <w:r>
          <w:rPr>
            <w:szCs w:val="24"/>
          </w:rPr>
          <w:t xml:space="preserve">WRC </w:t>
        </w:r>
      </w:ins>
      <w:ins w:id="46" w:author="rev1" w:date="2018-09-17T02:24:00Z">
        <w:r w:rsidR="006E2F14" w:rsidRPr="00747F21">
          <w:rPr>
            <w:szCs w:val="24"/>
          </w:rPr>
          <w:t xml:space="preserve">Resolution. With regards to protection of passive services in </w:t>
        </w:r>
        <w:r w:rsidR="006E2F14">
          <w:rPr>
            <w:szCs w:val="24"/>
          </w:rPr>
          <w:t>the adjacent band 50.2-50.4 GHz</w:t>
        </w:r>
        <w:r>
          <w:rPr>
            <w:szCs w:val="24"/>
          </w:rPr>
          <w:t xml:space="preserve"> included in </w:t>
        </w:r>
      </w:ins>
      <w:ins w:id="47" w:author="rev1" w:date="2018-09-17T02:40:00Z">
        <w:r w:rsidRPr="00D73DF9">
          <w:rPr>
            <w:szCs w:val="24"/>
          </w:rPr>
          <w:t>No.</w:t>
        </w:r>
      </w:ins>
      <w:ins w:id="48" w:author="rev1" w:date="2018-09-17T02:24:00Z">
        <w:r w:rsidR="006E2F14" w:rsidRPr="00747F21">
          <w:rPr>
            <w:szCs w:val="24"/>
          </w:rPr>
          <w:t xml:space="preserve"> </w:t>
        </w:r>
        <w:r w:rsidR="006E2F14" w:rsidRPr="00D73DF9">
          <w:rPr>
            <w:b/>
            <w:szCs w:val="24"/>
          </w:rPr>
          <w:t>5.340</w:t>
        </w:r>
        <w:r>
          <w:rPr>
            <w:szCs w:val="24"/>
          </w:rPr>
          <w:t>, no chan</w:t>
        </w:r>
      </w:ins>
      <w:ins w:id="49" w:author="rev1" w:date="2018-09-17T02:44:00Z">
        <w:r>
          <w:rPr>
            <w:szCs w:val="24"/>
          </w:rPr>
          <w:t>ges to Resolution 750</w:t>
        </w:r>
      </w:ins>
      <w:ins w:id="50" w:author="rev1" w:date="2018-09-17T02:24:00Z">
        <w:r w:rsidR="006E2F14" w:rsidRPr="00747F21">
          <w:rPr>
            <w:szCs w:val="24"/>
          </w:rPr>
          <w:t xml:space="preserve"> are nece</w:t>
        </w:r>
        <w:r>
          <w:rPr>
            <w:szCs w:val="24"/>
          </w:rPr>
          <w:t xml:space="preserve">ssary since </w:t>
        </w:r>
      </w:ins>
      <w:ins w:id="51" w:author="rev1" w:date="2018-09-17T02:42:00Z">
        <w:r>
          <w:rPr>
            <w:szCs w:val="24"/>
          </w:rPr>
          <w:t>No.</w:t>
        </w:r>
      </w:ins>
      <w:ins w:id="52" w:author="rev1" w:date="2018-09-17T02:24:00Z">
        <w:r w:rsidR="006E2F14" w:rsidRPr="00747F21">
          <w:rPr>
            <w:szCs w:val="24"/>
          </w:rPr>
          <w:t xml:space="preserve"> </w:t>
        </w:r>
        <w:r w:rsidR="006E2F14" w:rsidRPr="00D73DF9">
          <w:rPr>
            <w:b/>
            <w:szCs w:val="24"/>
          </w:rPr>
          <w:t>5.340.1</w:t>
        </w:r>
        <w:r w:rsidR="006E2F14" w:rsidRPr="00747F21">
          <w:rPr>
            <w:szCs w:val="24"/>
          </w:rPr>
          <w:t xml:space="preserve"> clearly states </w:t>
        </w:r>
        <w:r w:rsidR="006E2F14" w:rsidRPr="00747F21">
          <w:rPr>
            <w:szCs w:val="24"/>
          </w:rPr>
          <w:lastRenderedPageBreak/>
          <w:t>that “</w:t>
        </w:r>
        <w:r w:rsidR="006E2F14" w:rsidRPr="00747F21">
          <w:rPr>
            <w:szCs w:val="24"/>
            <w:lang w:val="en-CA"/>
          </w:rPr>
          <w:t>The allocation to the Earth exploration-satellite service (passive) and the space research service (passive) in the band 50.2-50.4 GHz should not impose undue constraints on the use of the adjacent bands by the primary allocated services in those bands</w:t>
        </w:r>
      </w:ins>
      <w:ins w:id="53" w:author="rev1" w:date="2018-09-17T02:38:00Z">
        <w:r>
          <w:rPr>
            <w:szCs w:val="24"/>
            <w:lang w:val="en-CA"/>
          </w:rPr>
          <w:t>.</w:t>
        </w:r>
      </w:ins>
      <w:ins w:id="54" w:author="rev1" w:date="2018-09-17T02:24:00Z">
        <w:r w:rsidR="006E2F14" w:rsidRPr="00747F21">
          <w:rPr>
            <w:szCs w:val="24"/>
            <w:lang w:val="en-CA"/>
          </w:rPr>
          <w:t>”</w:t>
        </w:r>
      </w:ins>
    </w:p>
    <w:p w14:paraId="7136EB7F" w14:textId="77777777" w:rsidR="006E2F14" w:rsidRDefault="006E2F14" w:rsidP="00FB2BC3">
      <w:pPr>
        <w:widowControl w:val="0"/>
        <w:ind w:right="80"/>
        <w:rPr>
          <w:ins w:id="55" w:author="rev1" w:date="2018-09-17T01:28:00Z"/>
        </w:rPr>
      </w:pPr>
    </w:p>
    <w:p w14:paraId="52E2598A" w14:textId="208FB76E" w:rsidR="00573DDD" w:rsidDel="00FB2BC3" w:rsidRDefault="00732417" w:rsidP="00B35642">
      <w:pPr>
        <w:spacing w:before="0"/>
        <w:rPr>
          <w:del w:id="56" w:author="rev1" w:date="2018-09-17T01:28:00Z"/>
          <w:lang w:val="en-US" w:eastAsia="ja-JP"/>
        </w:rPr>
      </w:pPr>
      <w:del w:id="57" w:author="rev1" w:date="2018-09-17T01:28:00Z">
        <w:r w:rsidDel="00FB2BC3">
          <w:rPr>
            <w:szCs w:val="22"/>
          </w:rPr>
          <w:delText xml:space="preserve">Both terrestrial </w:delText>
        </w:r>
        <w:r w:rsidR="007A54D0" w:rsidDel="00FB2BC3">
          <w:rPr>
            <w:szCs w:val="22"/>
          </w:rPr>
          <w:delText xml:space="preserve">and satellite </w:delText>
        </w:r>
        <w:r w:rsidR="007A54D0" w:rsidRPr="0086713F" w:rsidDel="00FB2BC3">
          <w:rPr>
            <w:szCs w:val="22"/>
          </w:rPr>
          <w:delText xml:space="preserve">broadband </w:delText>
        </w:r>
        <w:r w:rsidR="007A54D0" w:rsidDel="00FB2BC3">
          <w:rPr>
            <w:szCs w:val="22"/>
          </w:rPr>
          <w:delText xml:space="preserve">services </w:delText>
        </w:r>
        <w:r w:rsidR="00573DDD" w:rsidRPr="00064B24" w:rsidDel="00FB2BC3">
          <w:rPr>
            <w:szCs w:val="22"/>
          </w:rPr>
          <w:delText>play a crucial role in providing access to businesses and consumers worldwide</w:delText>
        </w:r>
        <w:r w:rsidR="0098164E" w:rsidDel="00FB2BC3">
          <w:rPr>
            <w:szCs w:val="22"/>
          </w:rPr>
          <w:delText xml:space="preserve"> and will be critical components of 5G networks</w:delText>
        </w:r>
        <w:r w:rsidR="00B35642" w:rsidDel="00FB2BC3">
          <w:rPr>
            <w:szCs w:val="22"/>
          </w:rPr>
          <w:delText xml:space="preserve">.  </w:delText>
        </w:r>
        <w:r w:rsidR="0098164E" w:rsidDel="00FB2BC3">
          <w:rPr>
            <w:szCs w:val="22"/>
          </w:rPr>
          <w:delText xml:space="preserve">For continuity, </w:delText>
        </w:r>
        <w:r w:rsidR="00C61879" w:rsidDel="00FB2BC3">
          <w:rPr>
            <w:szCs w:val="22"/>
          </w:rPr>
          <w:delText>resiliency</w:delText>
        </w:r>
        <w:r w:rsidR="0098164E" w:rsidDel="00FB2BC3">
          <w:rPr>
            <w:szCs w:val="22"/>
          </w:rPr>
          <w:delText xml:space="preserve"> and broad connec</w:delText>
        </w:r>
        <w:r w:rsidR="00C61879" w:rsidDel="00FB2BC3">
          <w:rPr>
            <w:szCs w:val="22"/>
          </w:rPr>
          <w:delText>ti</w:delText>
        </w:r>
        <w:r w:rsidR="0098164E" w:rsidDel="00FB2BC3">
          <w:rPr>
            <w:szCs w:val="22"/>
          </w:rPr>
          <w:delText>vity solu</w:delText>
        </w:r>
        <w:r w:rsidR="00C61879" w:rsidDel="00FB2BC3">
          <w:rPr>
            <w:szCs w:val="22"/>
          </w:rPr>
          <w:delText>t</w:delText>
        </w:r>
        <w:r w:rsidR="0098164E" w:rsidDel="00FB2BC3">
          <w:rPr>
            <w:szCs w:val="22"/>
          </w:rPr>
          <w:delText xml:space="preserve">ions, satellite broadband </w:delText>
        </w:r>
        <w:r w:rsidR="004D4884" w:rsidDel="00FB2BC3">
          <w:rPr>
            <w:szCs w:val="22"/>
          </w:rPr>
          <w:delText xml:space="preserve">is an </w:delText>
        </w:r>
        <w:r w:rsidR="0098164E" w:rsidDel="00FB2BC3">
          <w:rPr>
            <w:szCs w:val="22"/>
          </w:rPr>
          <w:delText>indispe</w:delText>
        </w:r>
        <w:r w:rsidR="00B35642" w:rsidDel="00FB2BC3">
          <w:rPr>
            <w:szCs w:val="22"/>
          </w:rPr>
          <w:delText xml:space="preserve">nsable part of the 5G network.  </w:delText>
        </w:r>
        <w:r w:rsidR="00810EBF" w:rsidDel="00FB2BC3">
          <w:rPr>
            <w:lang w:val="en-US" w:eastAsia="ja-JP"/>
          </w:rPr>
          <w:delText>Because of increased demand for satellite broadband services, there is a need for additional spectrum being made available to support its growing user base.</w:delText>
        </w:r>
      </w:del>
    </w:p>
    <w:p w14:paraId="5091DB19" w14:textId="447CCC61" w:rsidR="00B35642" w:rsidRPr="00064B24" w:rsidDel="00FB2BC3" w:rsidRDefault="00B35642" w:rsidP="00B35642">
      <w:pPr>
        <w:spacing w:before="0"/>
        <w:rPr>
          <w:del w:id="58" w:author="rev1" w:date="2018-09-17T01:28:00Z"/>
          <w:szCs w:val="22"/>
        </w:rPr>
      </w:pPr>
    </w:p>
    <w:p w14:paraId="068F315E" w14:textId="6CB79C73" w:rsidR="00DD104A" w:rsidDel="00FB2BC3" w:rsidRDefault="008D10AD" w:rsidP="00B35642">
      <w:pPr>
        <w:spacing w:before="0"/>
        <w:rPr>
          <w:del w:id="59" w:author="rev1" w:date="2018-09-17T01:28:00Z"/>
        </w:rPr>
      </w:pPr>
      <w:del w:id="60" w:author="rev1" w:date="2018-09-17T01:28:00Z">
        <w:r w:rsidDel="00FB2BC3">
          <w:delText xml:space="preserve">Broadband satellite systems </w:delText>
        </w:r>
        <w:r w:rsidR="00732417" w:rsidDel="00FB2BC3">
          <w:delText>require</w:delText>
        </w:r>
        <w:r w:rsidDel="00FB2BC3">
          <w:delText xml:space="preserve"> access to unencumbered uplink spectrum to operate </w:delText>
        </w:r>
        <w:r w:rsidR="00471A71" w:rsidDel="00FB2BC3">
          <w:delText xml:space="preserve">widely deployed </w:delText>
        </w:r>
        <w:r w:rsidR="00B35642" w:rsidDel="00FB2BC3">
          <w:delText xml:space="preserve">transmitting user terminals.  </w:delText>
        </w:r>
        <w:r w:rsidDel="00FB2BC3">
          <w:delText xml:space="preserve">To satisfy this </w:delText>
        </w:r>
        <w:r w:rsidR="00710068" w:rsidDel="00FB2BC3">
          <w:delText xml:space="preserve">minimum </w:delText>
        </w:r>
        <w:r w:rsidDel="00FB2BC3">
          <w:delText xml:space="preserve">requirement, ITU footnote 5.516B identifies 2 GHz of uplink spectrum for high-density </w:delText>
        </w:r>
        <w:r w:rsidR="004F1A06" w:rsidDel="00FB2BC3">
          <w:delText xml:space="preserve">fixed-satellite service </w:delText>
        </w:r>
        <w:r w:rsidR="008F2933" w:rsidDel="00FB2BC3">
          <w:delText xml:space="preserve">(HDFSS) </w:delText>
        </w:r>
        <w:r w:rsidR="00270BEA" w:rsidDel="00FB2BC3">
          <w:delText xml:space="preserve">operations </w:delText>
        </w:r>
        <w:r w:rsidR="00732417" w:rsidDel="00FB2BC3">
          <w:delText xml:space="preserve">in ITU Region 2 </w:delText>
        </w:r>
        <w:r w:rsidR="00270BEA" w:rsidDel="00FB2BC3">
          <w:delText xml:space="preserve">in the 48.2-50.2 GHz </w:delText>
        </w:r>
        <w:r w:rsidR="00732417" w:rsidDel="00FB2BC3">
          <w:delText xml:space="preserve">band </w:delText>
        </w:r>
        <w:r w:rsidR="00270BEA" w:rsidDel="00FB2BC3">
          <w:delText xml:space="preserve">(Earth-to-space), paired with the 40-42 GHz </w:delText>
        </w:r>
        <w:r w:rsidR="00732417" w:rsidDel="00FB2BC3">
          <w:delText>band (space-to-Earth)</w:delText>
        </w:r>
        <w:r w:rsidR="00710068" w:rsidDel="00FB2BC3">
          <w:delText xml:space="preserve"> (see Resolution </w:delText>
        </w:r>
        <w:r w:rsidR="00710068" w:rsidRPr="00710068" w:rsidDel="00FB2BC3">
          <w:rPr>
            <w:b/>
          </w:rPr>
          <w:delText>143 (Rev. WRC-07)</w:delText>
        </w:r>
        <w:r w:rsidR="00710068" w:rsidDel="00FB2BC3">
          <w:delText>)</w:delText>
        </w:r>
        <w:r w:rsidR="00732417" w:rsidDel="00FB2BC3">
          <w:delText xml:space="preserve">. </w:delText>
        </w:r>
      </w:del>
    </w:p>
    <w:p w14:paraId="3E658A1D" w14:textId="5AF9E37C" w:rsidR="00B35642" w:rsidDel="00FB2BC3" w:rsidRDefault="00B35642" w:rsidP="00B35642">
      <w:pPr>
        <w:spacing w:before="0"/>
        <w:rPr>
          <w:del w:id="61" w:author="rev1" w:date="2018-09-17T01:28:00Z"/>
        </w:rPr>
      </w:pPr>
    </w:p>
    <w:p w14:paraId="58703F65" w14:textId="7B073BBD" w:rsidR="00DD104A" w:rsidDel="00FB2BC3" w:rsidRDefault="00DD104A" w:rsidP="00B35642">
      <w:pPr>
        <w:spacing w:before="0"/>
        <w:rPr>
          <w:del w:id="62" w:author="rev1" w:date="2018-09-17T01:28:00Z"/>
          <w:lang w:val="en-US"/>
        </w:rPr>
      </w:pPr>
      <w:del w:id="63" w:author="rev1" w:date="2018-09-17T01:28:00Z">
        <w:r w:rsidDel="00FB2BC3">
          <w:rPr>
            <w:lang w:val="en-US"/>
          </w:rPr>
          <w:delText xml:space="preserve">HDFSS </w:delText>
        </w:r>
        <w:r w:rsidDel="00FB2BC3">
          <w:delText xml:space="preserve">operations </w:delText>
        </w:r>
        <w:r w:rsidRPr="0007745B" w:rsidDel="00FB2BC3">
          <w:delText>provide access to a wide range of broadband telecommunication applications</w:delText>
        </w:r>
        <w:r w:rsidDel="00FB2BC3">
          <w:delText xml:space="preserve">, including broadband services and machine-to-machine (M2M) communications, both independently and in </w:delText>
        </w:r>
        <w:r w:rsidRPr="0007745B" w:rsidDel="00FB2BC3">
          <w:delText xml:space="preserve">complement </w:delText>
        </w:r>
        <w:r w:rsidDel="00FB2BC3">
          <w:delText xml:space="preserve">with </w:delText>
        </w:r>
        <w:r w:rsidRPr="0007745B" w:rsidDel="00FB2BC3">
          <w:delText>other telecommunication systems</w:delText>
        </w:r>
        <w:r w:rsidR="00B35642" w:rsidDel="00FB2BC3">
          <w:delText xml:space="preserve">.  </w:delText>
        </w:r>
        <w:r w:rsidDel="00FB2BC3">
          <w:delText>Growth in the satellite M2M market is expected to reach $2.9 billion by 2026, driven by 6.8 million in-service terminals.</w:delText>
        </w:r>
        <w:r w:rsidDel="00FB2BC3">
          <w:rPr>
            <w:rStyle w:val="FootnoteReference"/>
          </w:rPr>
          <w:footnoteReference w:id="2"/>
        </w:r>
        <w:r w:rsidR="00B35642" w:rsidDel="00FB2BC3">
          <w:delText xml:space="preserve">  </w:delText>
        </w:r>
        <w:r w:rsidDel="00FB2BC3">
          <w:rPr>
            <w:lang w:val="en-US"/>
          </w:rPr>
          <w:delText xml:space="preserve">These terminals will be </w:delText>
        </w:r>
        <w:r w:rsidRPr="004D70BA" w:rsidDel="00FB2BC3">
          <w:rPr>
            <w:lang w:val="en-US"/>
          </w:rPr>
          <w:delText>deployed over urban, suburban and rural areas of large geographical extent</w:delText>
        </w:r>
        <w:r w:rsidDel="00FB2BC3">
          <w:rPr>
            <w:lang w:val="en-US"/>
          </w:rPr>
          <w:delText>, and the practicability of techniques to successfully manage co-frequency sharing with ubiquitous terrestrial services, such as IMT, has not been demonstrated.</w:delText>
        </w:r>
      </w:del>
    </w:p>
    <w:p w14:paraId="653CDCC2" w14:textId="5F8BAFCE" w:rsidR="00B35642" w:rsidRPr="00EE3EC1" w:rsidDel="00FB2BC3" w:rsidRDefault="00B35642" w:rsidP="00B35642">
      <w:pPr>
        <w:spacing w:before="0"/>
        <w:rPr>
          <w:del w:id="66" w:author="rev1" w:date="2018-09-17T01:28:00Z"/>
        </w:rPr>
      </w:pPr>
    </w:p>
    <w:p w14:paraId="6AEDDADC" w14:textId="49E4DC8B" w:rsidR="008D10AD" w:rsidDel="00FB2BC3" w:rsidRDefault="008F2933" w:rsidP="00B35642">
      <w:pPr>
        <w:spacing w:before="0"/>
        <w:rPr>
          <w:del w:id="67" w:author="rev1" w:date="2018-09-17T01:28:00Z"/>
        </w:rPr>
      </w:pPr>
      <w:del w:id="68" w:author="rev1" w:date="2018-09-17T01:28:00Z">
        <w:r w:rsidDel="00FB2BC3">
          <w:delText xml:space="preserve">HDFSS </w:delText>
        </w:r>
        <w:r w:rsidRPr="008F2933" w:rsidDel="00FB2BC3">
          <w:delText xml:space="preserve">systems </w:delText>
        </w:r>
        <w:r w:rsidDel="00FB2BC3">
          <w:delText>require</w:delText>
        </w:r>
        <w:r w:rsidRPr="008F2933" w:rsidDel="00FB2BC3">
          <w:delText xml:space="preserve"> flexible, rapid and ubiquitous deployment of large numbers of cost-optimized earth stations employing small antennas and having common technical characteristics</w:delText>
        </w:r>
        <w:r w:rsidR="00270BEA" w:rsidDel="00FB2BC3">
          <w:delText>.</w:delText>
        </w:r>
        <w:r w:rsidR="0007745B" w:rsidDel="00FB2BC3">
          <w:delText xml:space="preserve"> The identification of bands for HDFSS </w:delText>
        </w:r>
        <w:r w:rsidR="0007745B" w:rsidRPr="0007745B" w:rsidDel="00FB2BC3">
          <w:delText>facilitate</w:delText>
        </w:r>
        <w:r w:rsidR="0007745B" w:rsidDel="00FB2BC3">
          <w:delText xml:space="preserve">s its </w:delText>
        </w:r>
        <w:r w:rsidR="0007745B" w:rsidRPr="0007745B" w:rsidDel="00FB2BC3">
          <w:delText xml:space="preserve">implementation </w:delText>
        </w:r>
        <w:r w:rsidR="0007745B" w:rsidDel="00FB2BC3">
          <w:delText xml:space="preserve">and maximizes </w:delText>
        </w:r>
        <w:r w:rsidR="0007745B" w:rsidRPr="0007745B" w:rsidDel="00FB2BC3">
          <w:delText>global</w:delText>
        </w:r>
        <w:r w:rsidR="005565B8" w:rsidDel="00FB2BC3">
          <w:delText>/regional</w:delText>
        </w:r>
        <w:r w:rsidR="0007745B" w:rsidRPr="0007745B" w:rsidDel="00FB2BC3">
          <w:delText xml:space="preserve"> access and economies of scale</w:delText>
        </w:r>
        <w:r w:rsidR="005565B8" w:rsidDel="00FB2BC3">
          <w:delText xml:space="preserve"> noting the  different bands identified for HDFSS in different regions as per 5.516B</w:delText>
        </w:r>
      </w:del>
    </w:p>
    <w:p w14:paraId="41F228B3" w14:textId="6BEDA62C" w:rsidR="00B35642" w:rsidDel="00FB2BC3" w:rsidRDefault="00B35642" w:rsidP="00B35642">
      <w:pPr>
        <w:spacing w:before="0"/>
        <w:rPr>
          <w:del w:id="69" w:author="rev1" w:date="2018-09-17T01:28:00Z"/>
        </w:rPr>
      </w:pPr>
    </w:p>
    <w:p w14:paraId="021041C2" w14:textId="1EA5B387" w:rsidR="00B334BB" w:rsidDel="00FB2BC3" w:rsidRDefault="00394CCD" w:rsidP="00B35642">
      <w:pPr>
        <w:spacing w:before="0"/>
        <w:rPr>
          <w:del w:id="70" w:author="rev1" w:date="2018-09-17T01:28:00Z"/>
        </w:rPr>
      </w:pPr>
      <w:del w:id="71" w:author="rev1" w:date="2018-09-17T01:28:00Z">
        <w:r w:rsidDel="00FB2BC3">
          <w:delText>Given the current state of satellite technology, these systems would need access to spectrum where satellite end user devices can operate</w:delText>
        </w:r>
        <w:r w:rsidR="004D70BA" w:rsidDel="00FB2BC3">
          <w:delText xml:space="preserve"> and be</w:delText>
        </w:r>
        <w:r w:rsidDel="00FB2BC3">
          <w:delText xml:space="preserve"> freely deploy</w:delText>
        </w:r>
        <w:r w:rsidR="004D70BA" w:rsidDel="00FB2BC3">
          <w:delText>ed</w:delText>
        </w:r>
        <w:r w:rsidDel="00FB2BC3">
          <w:delText xml:space="preserve"> uplink user terminals across </w:delText>
        </w:r>
        <w:r w:rsidR="005565B8" w:rsidDel="00FB2BC3">
          <w:delText>in given country</w:delText>
        </w:r>
        <w:r w:rsidR="00B334BB" w:rsidDel="00FB2BC3">
          <w:delText xml:space="preserve"> </w:delText>
        </w:r>
      </w:del>
    </w:p>
    <w:p w14:paraId="3062298A" w14:textId="644B38ED" w:rsidR="004F1A06" w:rsidRPr="00FB2BC3" w:rsidRDefault="00E80590" w:rsidP="00FB2BC3">
      <w:pPr>
        <w:pStyle w:val="Heading1"/>
        <w:rPr>
          <w:b w:val="0"/>
          <w:sz w:val="24"/>
          <w:szCs w:val="24"/>
        </w:rPr>
      </w:pPr>
      <w:r w:rsidRPr="00A91046">
        <w:rPr>
          <w:sz w:val="24"/>
          <w:szCs w:val="24"/>
        </w:rPr>
        <w:t>Proposals</w:t>
      </w:r>
      <w:r w:rsidRPr="00E8145A">
        <w:rPr>
          <w:b w:val="0"/>
          <w:sz w:val="24"/>
          <w:szCs w:val="24"/>
        </w:rPr>
        <w:t xml:space="preserve">:  </w:t>
      </w:r>
    </w:p>
    <w:p w14:paraId="40E06B66" w14:textId="77777777" w:rsidR="00BA3156" w:rsidRPr="00BA3156" w:rsidRDefault="00BA3156" w:rsidP="00BA3156">
      <w:pPr>
        <w:keepNext/>
        <w:keepLines/>
        <w:spacing w:before="480"/>
        <w:jc w:val="center"/>
        <w:rPr>
          <w:caps/>
          <w:sz w:val="28"/>
        </w:rPr>
      </w:pPr>
      <w:r w:rsidRPr="00BA3156">
        <w:rPr>
          <w:caps/>
          <w:sz w:val="28"/>
        </w:rPr>
        <w:t xml:space="preserve">ARTICLE </w:t>
      </w:r>
      <w:r w:rsidRPr="00BA3156">
        <w:rPr>
          <w:rFonts w:eastAsiaTheme="majorEastAsia"/>
          <w:caps/>
          <w:sz w:val="28"/>
        </w:rPr>
        <w:t>5</w:t>
      </w:r>
    </w:p>
    <w:p w14:paraId="7C8500D7" w14:textId="77777777" w:rsidR="00BA3156" w:rsidRPr="00BA3156" w:rsidRDefault="00BA3156" w:rsidP="00BA3156">
      <w:pPr>
        <w:keepNext/>
        <w:keepLines/>
        <w:spacing w:before="240"/>
        <w:jc w:val="center"/>
        <w:rPr>
          <w:b/>
          <w:sz w:val="28"/>
          <w:lang w:val="en-US"/>
        </w:rPr>
      </w:pPr>
      <w:r w:rsidRPr="00BA3156">
        <w:rPr>
          <w:b/>
          <w:sz w:val="28"/>
        </w:rPr>
        <w:t>Frequency allocations</w:t>
      </w:r>
    </w:p>
    <w:p w14:paraId="157E41AD" w14:textId="77777777" w:rsidR="00BA3156" w:rsidRPr="00BA3156" w:rsidRDefault="00BA3156" w:rsidP="00BA3156">
      <w:pPr>
        <w:keepNext/>
        <w:tabs>
          <w:tab w:val="clear" w:pos="1134"/>
          <w:tab w:val="clear" w:pos="1871"/>
          <w:tab w:val="clear" w:pos="2268"/>
          <w:tab w:val="center" w:pos="4820"/>
        </w:tabs>
        <w:spacing w:before="360"/>
        <w:jc w:val="center"/>
        <w:rPr>
          <w:b/>
        </w:rPr>
      </w:pPr>
      <w:r w:rsidRPr="00BA3156">
        <w:rPr>
          <w:b/>
        </w:rPr>
        <w:t>Section</w:t>
      </w:r>
      <w:r w:rsidRPr="00BA3156">
        <w:rPr>
          <w:b/>
          <w:lang w:val="en-AU"/>
        </w:rPr>
        <w:t xml:space="preserve"> IV – Table of Frequency Allocations</w:t>
      </w:r>
      <w:r w:rsidRPr="00BA3156">
        <w:rPr>
          <w:b/>
          <w:lang w:val="en-AU"/>
        </w:rPr>
        <w:br/>
      </w:r>
      <w:r w:rsidRPr="00BA3156">
        <w:rPr>
          <w:bCs/>
        </w:rPr>
        <w:t xml:space="preserve">(See No. </w:t>
      </w:r>
      <w:r w:rsidRPr="00BA3156">
        <w:rPr>
          <w:b/>
        </w:rPr>
        <w:t>2.1</w:t>
      </w:r>
      <w:r w:rsidRPr="00BA3156">
        <w:rPr>
          <w:bCs/>
        </w:rPr>
        <w:t>)</w:t>
      </w:r>
      <w:r w:rsidRPr="00BA3156">
        <w:rPr>
          <w:bCs/>
        </w:rPr>
        <w:br/>
      </w:r>
      <w:r w:rsidRPr="00BA3156">
        <w:rPr>
          <w:b/>
        </w:rPr>
        <w:lastRenderedPageBreak/>
        <w:br/>
      </w:r>
    </w:p>
    <w:p w14:paraId="27AA5035" w14:textId="626D8D1F" w:rsidR="00BA3156" w:rsidRPr="00FB2BC3" w:rsidRDefault="00BA3156" w:rsidP="00BA3156">
      <w:pPr>
        <w:keepNext/>
        <w:spacing w:before="240"/>
        <w:rPr>
          <w:b/>
          <w:szCs w:val="24"/>
        </w:rPr>
      </w:pPr>
      <w:r w:rsidRPr="00BA3156">
        <w:rPr>
          <w:rFonts w:hAnsi="Times New Roman Bold"/>
          <w:b/>
        </w:rPr>
        <w:t>MOD</w:t>
      </w:r>
      <w:r>
        <w:rPr>
          <w:rFonts w:hAnsi="Times New Roman Bold"/>
          <w:b/>
        </w:rPr>
        <w:t xml:space="preserve"> </w:t>
      </w:r>
      <w:r w:rsidR="00FB2BC3">
        <w:rPr>
          <w:rFonts w:hAnsi="Times New Roman Bold"/>
          <w:b/>
        </w:rPr>
        <w:tab/>
      </w:r>
      <w:r w:rsidRPr="00FB2BC3">
        <w:rPr>
          <w:b/>
          <w:szCs w:val="24"/>
        </w:rPr>
        <w:t>USA/1.13/1</w:t>
      </w:r>
    </w:p>
    <w:p w14:paraId="2EFD7911" w14:textId="77777777" w:rsidR="00FB2BC3" w:rsidRPr="00BA3156" w:rsidRDefault="00FB2BC3" w:rsidP="00BA3156">
      <w:pPr>
        <w:keepNext/>
        <w:spacing w:before="240"/>
        <w:rPr>
          <w:rFonts w:hAnsi="Times New Roman Bold"/>
          <w:b/>
        </w:rPr>
      </w:pPr>
    </w:p>
    <w:p w14:paraId="4BD3CA3C" w14:textId="77777777" w:rsidR="00BA3156" w:rsidRDefault="00BA3156" w:rsidP="00BA3156">
      <w:pPr>
        <w:keepNext/>
        <w:keepLines/>
        <w:spacing w:before="0" w:after="120"/>
        <w:jc w:val="center"/>
        <w:rPr>
          <w:rFonts w:ascii="Times New Roman Bold" w:hAnsi="Times New Roman Bold"/>
          <w:b/>
          <w:sz w:val="20"/>
        </w:rPr>
      </w:pPr>
      <w:r w:rsidRPr="00BA3156">
        <w:rPr>
          <w:rFonts w:ascii="Times New Roman Bold" w:hAnsi="Times New Roman Bold"/>
          <w:b/>
          <w:sz w:val="20"/>
        </w:rPr>
        <w:t>40-47.5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2"/>
      </w:tblGrid>
      <w:tr w:rsidR="00FB2BC3" w14:paraId="7493DBEC" w14:textId="77777777"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7877AC" w14:textId="77777777" w:rsidR="00FB2BC3" w:rsidRPr="00FB2BC3" w:rsidRDefault="00FB2BC3" w:rsidP="00FB2BC3">
            <w:pPr>
              <w:jc w:val="center"/>
              <w:rPr>
                <w:rFonts w:ascii="Times New Roman Bold" w:hAnsi="Times New Roman Bold" w:cs="Times New Roman Bold"/>
                <w:b/>
                <w:sz w:val="20"/>
              </w:rPr>
            </w:pPr>
            <w:r w:rsidRPr="00FB2BC3">
              <w:rPr>
                <w:rFonts w:ascii="Times New Roman Bold" w:hAnsi="Times New Roman Bold" w:cs="Times New Roman Bold"/>
                <w:b/>
                <w:sz w:val="20"/>
              </w:rPr>
              <w:t>Allocation to services</w:t>
            </w:r>
          </w:p>
        </w:tc>
      </w:tr>
      <w:tr w:rsidR="00FB2BC3" w14:paraId="37BC5132" w14:textId="77777777" w:rsidTr="00FB2BC3">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6768CFCA" w14:textId="77777777" w:rsidR="00FB2BC3" w:rsidRPr="002B657C" w:rsidRDefault="00FB2BC3" w:rsidP="007503E8">
            <w:pPr>
              <w:pStyle w:val="Tablehead"/>
            </w:pPr>
            <w:r w:rsidRPr="002B657C">
              <w:t>Region 1</w:t>
            </w:r>
          </w:p>
        </w:tc>
        <w:tc>
          <w:tcPr>
            <w:tcW w:w="3101" w:type="dxa"/>
            <w:tcBorders>
              <w:top w:val="single" w:sz="4" w:space="0" w:color="auto"/>
              <w:left w:val="single" w:sz="4" w:space="0" w:color="auto"/>
              <w:bottom w:val="single" w:sz="4" w:space="0" w:color="auto"/>
              <w:right w:val="single" w:sz="4" w:space="0" w:color="auto"/>
            </w:tcBorders>
            <w:hideMark/>
          </w:tcPr>
          <w:p w14:paraId="3AF85751" w14:textId="77777777" w:rsidR="00FB2BC3" w:rsidRPr="002B657C" w:rsidRDefault="00FB2BC3" w:rsidP="007503E8">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14:paraId="643A9D95" w14:textId="77777777" w:rsidR="00FB2BC3" w:rsidRPr="002B657C" w:rsidRDefault="00FB2BC3" w:rsidP="007503E8">
            <w:pPr>
              <w:pStyle w:val="Tablehead"/>
            </w:pPr>
            <w:r w:rsidRPr="002B657C">
              <w:t>Region 3</w:t>
            </w:r>
          </w:p>
        </w:tc>
      </w:tr>
      <w:tr w:rsidR="00FB2BC3" w14:paraId="7A564902" w14:textId="77777777"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EC53F10" w14:textId="77777777" w:rsidR="00FB2BC3" w:rsidRDefault="00FB2BC3" w:rsidP="007503E8">
            <w:pPr>
              <w:pStyle w:val="TableTextS5"/>
              <w:rPr>
                <w:color w:val="000000"/>
                <w:lang w:val="en-AU"/>
              </w:rPr>
            </w:pPr>
            <w:r w:rsidRPr="00D518E2">
              <w:rPr>
                <w:rStyle w:val="Tablefreq"/>
              </w:rPr>
              <w:t>47.2-47.5</w:t>
            </w:r>
            <w:r>
              <w:rPr>
                <w:color w:val="000000"/>
                <w:lang w:val="en-AU"/>
              </w:rPr>
              <w:tab/>
              <w:t>FIXED</w:t>
            </w:r>
          </w:p>
          <w:p w14:paraId="201147BE" w14:textId="77777777"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51FA1279" w14:textId="2E4DCFF2"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72" w:author="rev1" w:date="2018-09-17T01:09:00Z">
              <w:r>
                <w:rPr>
                  <w:color w:val="000000"/>
                  <w:lang w:val="en-AU"/>
                </w:rPr>
                <w:t xml:space="preserve"> ADD 5.H113</w:t>
              </w:r>
            </w:ins>
          </w:p>
          <w:p w14:paraId="01A38C9E" w14:textId="77777777"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14:paraId="291710F4" w14:textId="77777777" w:rsidR="00BA3156" w:rsidRDefault="00BA3156" w:rsidP="00BA3156">
      <w:pPr>
        <w:tabs>
          <w:tab w:val="clear" w:pos="1871"/>
          <w:tab w:val="clear" w:pos="2268"/>
          <w:tab w:val="left" w:pos="1588"/>
          <w:tab w:val="left" w:pos="1985"/>
        </w:tabs>
      </w:pPr>
    </w:p>
    <w:p w14:paraId="25B06432" w14:textId="7B009AEB" w:rsidR="00FB2BC3" w:rsidRPr="00FB2BC3" w:rsidRDefault="00FB2BC3" w:rsidP="00FB2BC3">
      <w:pPr>
        <w:tabs>
          <w:tab w:val="clear" w:pos="1871"/>
          <w:tab w:val="clear" w:pos="2268"/>
          <w:tab w:val="left" w:pos="1588"/>
          <w:tab w:val="left" w:pos="1985"/>
        </w:tabs>
        <w:jc w:val="center"/>
        <w:rPr>
          <w:ins w:id="73" w:author="rev1" w:date="2018-09-17T01:07:00Z"/>
          <w:b/>
          <w:sz w:val="20"/>
        </w:rPr>
      </w:pPr>
      <w:r w:rsidRPr="00FB2BC3">
        <w:rPr>
          <w:b/>
          <w:sz w:val="20"/>
        </w:rP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FB2BC3" w:rsidRPr="002B657C" w14:paraId="6C8E0C0D" w14:textId="77777777"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D882F5D" w14:textId="77777777" w:rsidR="00FB2BC3" w:rsidRPr="002B657C" w:rsidRDefault="00FB2BC3" w:rsidP="007503E8">
            <w:pPr>
              <w:pStyle w:val="Tablehead"/>
            </w:pPr>
            <w:r w:rsidRPr="002B657C">
              <w:t>Allocation to services</w:t>
            </w:r>
          </w:p>
        </w:tc>
      </w:tr>
      <w:tr w:rsidR="00FB2BC3" w:rsidRPr="002B657C" w14:paraId="09E4BFC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07145F0" w14:textId="77777777" w:rsidR="00FB2BC3" w:rsidRPr="002B657C" w:rsidRDefault="00FB2BC3" w:rsidP="007503E8">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3494BB5D" w14:textId="77777777" w:rsidR="00FB2BC3" w:rsidRPr="002B657C" w:rsidRDefault="00FB2BC3" w:rsidP="007503E8">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48E4BAF2" w14:textId="77777777" w:rsidR="00FB2BC3" w:rsidRPr="002B657C" w:rsidRDefault="00FB2BC3" w:rsidP="007503E8">
            <w:pPr>
              <w:pStyle w:val="Tablehead"/>
            </w:pPr>
            <w:r w:rsidRPr="002B657C">
              <w:t>Region 3</w:t>
            </w:r>
          </w:p>
        </w:tc>
      </w:tr>
      <w:tr w:rsidR="00FB2BC3" w14:paraId="0A33F56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79E751C" w14:textId="77777777" w:rsidR="00FB2BC3" w:rsidRPr="006354F0" w:rsidRDefault="00FB2BC3" w:rsidP="007503E8">
            <w:pPr>
              <w:pStyle w:val="TableTextS5"/>
              <w:tabs>
                <w:tab w:val="clear" w:pos="170"/>
              </w:tabs>
              <w:spacing w:before="30" w:after="30"/>
              <w:rPr>
                <w:rStyle w:val="Tablefreq"/>
              </w:rPr>
            </w:pPr>
            <w:r w:rsidRPr="006354F0">
              <w:rPr>
                <w:rStyle w:val="Tablefreq"/>
              </w:rPr>
              <w:t>47.5-47.9</w:t>
            </w:r>
          </w:p>
          <w:p w14:paraId="04FF8D04" w14:textId="77777777" w:rsidR="00FB2BC3" w:rsidRDefault="00FB2BC3" w:rsidP="007503E8">
            <w:pPr>
              <w:pStyle w:val="TableTextS5"/>
              <w:spacing w:before="30" w:after="30"/>
              <w:rPr>
                <w:color w:val="000000"/>
              </w:rPr>
            </w:pPr>
            <w:r>
              <w:rPr>
                <w:color w:val="000000"/>
              </w:rPr>
              <w:t>FIXED</w:t>
            </w:r>
          </w:p>
          <w:p w14:paraId="5AD17DC3" w14:textId="77777777" w:rsidR="00FB2BC3" w:rsidRDefault="00FB2BC3" w:rsidP="007503E8">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Pr>
                <w:color w:val="000000"/>
              </w:rPr>
              <w:br/>
              <w:t xml:space="preserve">(space-to-Earth)  </w:t>
            </w:r>
            <w:r>
              <w:rPr>
                <w:rStyle w:val="Artref"/>
                <w:color w:val="000000"/>
              </w:rPr>
              <w:t>5.516B</w:t>
            </w:r>
            <w:r>
              <w:rPr>
                <w:color w:val="000000"/>
              </w:rPr>
              <w:t xml:space="preserve">  </w:t>
            </w:r>
            <w:r>
              <w:rPr>
                <w:rStyle w:val="Artref"/>
                <w:color w:val="000000"/>
              </w:rPr>
              <w:t>5.554A</w:t>
            </w:r>
          </w:p>
          <w:p w14:paraId="31D27B3B" w14:textId="51F02FDD" w:rsidR="00FB2BC3" w:rsidRDefault="00FB2BC3" w:rsidP="007503E8">
            <w:pPr>
              <w:pStyle w:val="TableTextS5"/>
              <w:spacing w:before="30" w:after="30"/>
              <w:rPr>
                <w:color w:val="000000"/>
                <w:lang w:val="fr-FR"/>
              </w:rPr>
            </w:pPr>
            <w:r>
              <w:rPr>
                <w:color w:val="000000"/>
              </w:rPr>
              <w:t>MOBILE</w:t>
            </w:r>
            <w:ins w:id="74" w:author="rev1" w:date="2018-09-17T01:14:00Z">
              <w:r>
                <w:rPr>
                  <w:color w:val="000000"/>
                </w:rPr>
                <w:t xml:space="preserve"> </w:t>
              </w:r>
              <w:r w:rsidRPr="00C41447">
                <w:rPr>
                  <w:color w:val="000000"/>
                </w:rPr>
                <w:t>ADD 5.H113</w:t>
              </w:r>
            </w:ins>
          </w:p>
        </w:tc>
        <w:tc>
          <w:tcPr>
            <w:tcW w:w="6201" w:type="dxa"/>
            <w:gridSpan w:val="2"/>
            <w:tcBorders>
              <w:top w:val="single" w:sz="4" w:space="0" w:color="auto"/>
              <w:left w:val="single" w:sz="6" w:space="0" w:color="auto"/>
              <w:bottom w:val="single" w:sz="4" w:space="0" w:color="auto"/>
              <w:right w:val="single" w:sz="4" w:space="0" w:color="auto"/>
            </w:tcBorders>
            <w:hideMark/>
          </w:tcPr>
          <w:p w14:paraId="72CE54A8" w14:textId="77777777" w:rsidR="00FB2BC3" w:rsidRPr="006354F0" w:rsidRDefault="00FB2BC3" w:rsidP="007503E8">
            <w:pPr>
              <w:pStyle w:val="TableTextS5"/>
              <w:tabs>
                <w:tab w:val="clear" w:pos="170"/>
              </w:tabs>
              <w:spacing w:before="30" w:after="30"/>
              <w:rPr>
                <w:rStyle w:val="Tablefreq"/>
              </w:rPr>
            </w:pPr>
            <w:r w:rsidRPr="006354F0">
              <w:rPr>
                <w:rStyle w:val="Tablefreq"/>
              </w:rPr>
              <w:t>47.5-47.9</w:t>
            </w:r>
          </w:p>
          <w:p w14:paraId="7092A325" w14:textId="77777777" w:rsidR="00FB2BC3" w:rsidRDefault="00FB2BC3" w:rsidP="007503E8">
            <w:pPr>
              <w:pStyle w:val="TableTextS5"/>
              <w:tabs>
                <w:tab w:val="clear" w:pos="170"/>
              </w:tabs>
              <w:spacing w:before="30" w:after="30"/>
              <w:rPr>
                <w:color w:val="000000"/>
              </w:rPr>
            </w:pPr>
            <w:r>
              <w:rPr>
                <w:color w:val="000000"/>
              </w:rPr>
              <w:tab/>
            </w:r>
            <w:r>
              <w:rPr>
                <w:color w:val="000000"/>
              </w:rPr>
              <w:tab/>
              <w:t>FIXED</w:t>
            </w:r>
          </w:p>
          <w:p w14:paraId="4489B4DB" w14:textId="77777777" w:rsidR="00FB2BC3" w:rsidRDefault="00FB2BC3" w:rsidP="007503E8">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p>
          <w:p w14:paraId="71EC1D7B" w14:textId="09607F55" w:rsidR="00FB2BC3" w:rsidRDefault="00FB2BC3" w:rsidP="007503E8">
            <w:pPr>
              <w:pStyle w:val="TableTextS5"/>
              <w:tabs>
                <w:tab w:val="clear" w:pos="170"/>
              </w:tabs>
              <w:spacing w:before="30" w:after="30"/>
              <w:rPr>
                <w:color w:val="000000"/>
                <w:lang w:val="fr-FR"/>
              </w:rPr>
            </w:pPr>
            <w:r>
              <w:rPr>
                <w:color w:val="000000"/>
              </w:rPr>
              <w:tab/>
            </w:r>
            <w:r>
              <w:rPr>
                <w:color w:val="000000"/>
              </w:rPr>
              <w:tab/>
              <w:t>MOBILE</w:t>
            </w:r>
            <w:ins w:id="75" w:author="rev1" w:date="2018-09-17T01:14:00Z">
              <w:r>
                <w:rPr>
                  <w:color w:val="000000"/>
                </w:rPr>
                <w:t xml:space="preserve"> </w:t>
              </w:r>
              <w:r w:rsidRPr="00C41447">
                <w:rPr>
                  <w:color w:val="000000"/>
                </w:rPr>
                <w:t>ADD 5.H113</w:t>
              </w:r>
            </w:ins>
          </w:p>
        </w:tc>
      </w:tr>
      <w:tr w:rsidR="00FB2BC3" w:rsidRPr="00766CBC" w14:paraId="50E034FB" w14:textId="77777777"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65AB58F" w14:textId="77777777" w:rsidR="00FB2BC3" w:rsidRPr="005B494F" w:rsidRDefault="00FB2BC3" w:rsidP="007503E8">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60F3DE74" w14:textId="77777777" w:rsidR="00FB2BC3" w:rsidRPr="005B494F" w:rsidRDefault="00FB2BC3" w:rsidP="007503E8">
            <w:pPr>
              <w:pStyle w:val="TableTextS5"/>
              <w:spacing w:before="50" w:after="50"/>
            </w:pPr>
            <w:r>
              <w:tab/>
            </w:r>
            <w:r>
              <w:tab/>
            </w:r>
            <w:r>
              <w:tab/>
            </w:r>
            <w:r w:rsidRPr="005B494F">
              <w:tab/>
              <w:t xml:space="preserve">FIXED-SATELLITE (Earth-to-space)  </w:t>
            </w:r>
            <w:r>
              <w:rPr>
                <w:rStyle w:val="Artref"/>
                <w:color w:val="000000"/>
              </w:rPr>
              <w:t>5.552</w:t>
            </w:r>
          </w:p>
          <w:p w14:paraId="06A9E821" w14:textId="1511A0A6" w:rsidR="00FB2BC3" w:rsidRDefault="00FB2BC3" w:rsidP="007503E8">
            <w:pPr>
              <w:pStyle w:val="TableTextS5"/>
              <w:spacing w:before="50" w:after="50"/>
              <w:rPr>
                <w:color w:val="000000"/>
              </w:rPr>
            </w:pPr>
            <w:r>
              <w:rPr>
                <w:color w:val="000000"/>
              </w:rPr>
              <w:tab/>
            </w:r>
            <w:r>
              <w:rPr>
                <w:color w:val="000000"/>
              </w:rPr>
              <w:tab/>
            </w:r>
            <w:r>
              <w:rPr>
                <w:color w:val="000000"/>
              </w:rPr>
              <w:tab/>
            </w:r>
            <w:r>
              <w:rPr>
                <w:color w:val="000000"/>
              </w:rPr>
              <w:tab/>
              <w:t>MOBILE</w:t>
            </w:r>
            <w:ins w:id="76" w:author="rev1" w:date="2018-09-17T01:14:00Z">
              <w:r w:rsidRPr="00C41447">
                <w:rPr>
                  <w:color w:val="000000"/>
                </w:rPr>
                <w:t xml:space="preserve"> ADD 5.H113</w:t>
              </w:r>
            </w:ins>
          </w:p>
          <w:p w14:paraId="3F3AE140" w14:textId="77777777" w:rsidR="00FB2BC3" w:rsidRPr="00766CBC" w:rsidRDefault="00FB2BC3" w:rsidP="007503E8">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FB2BC3" w14:paraId="552CF9A5"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445D6E21" w14:textId="77777777" w:rsidR="00FB2BC3" w:rsidRPr="006354F0" w:rsidRDefault="00FB2BC3" w:rsidP="007503E8">
            <w:pPr>
              <w:pStyle w:val="TableTextS5"/>
              <w:spacing w:before="30" w:after="30"/>
              <w:rPr>
                <w:rStyle w:val="Tablefreq"/>
              </w:rPr>
            </w:pPr>
            <w:r w:rsidRPr="006354F0">
              <w:rPr>
                <w:rStyle w:val="Tablefreq"/>
              </w:rPr>
              <w:t>48.2-48.54</w:t>
            </w:r>
          </w:p>
          <w:p w14:paraId="4F56C5DF" w14:textId="77777777" w:rsidR="00FB2BC3" w:rsidRDefault="00FB2BC3" w:rsidP="007503E8">
            <w:pPr>
              <w:pStyle w:val="TableTextS5"/>
              <w:spacing w:before="30" w:after="30"/>
              <w:rPr>
                <w:color w:val="000000"/>
              </w:rPr>
            </w:pPr>
            <w:r>
              <w:rPr>
                <w:color w:val="000000"/>
              </w:rPr>
              <w:t>FIXED</w:t>
            </w:r>
          </w:p>
          <w:p w14:paraId="4EF1ECB4" w14:textId="77777777" w:rsidR="00FB2BC3" w:rsidRDefault="00FB2BC3" w:rsidP="007503E8">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3212966D" w14:textId="7A014CAB" w:rsidR="00FB2BC3" w:rsidRPr="00766CBC" w:rsidRDefault="00FB2BC3" w:rsidP="007503E8">
            <w:pPr>
              <w:pStyle w:val="TableTextS5"/>
              <w:spacing w:before="30" w:after="30"/>
              <w:rPr>
                <w:color w:val="000000"/>
                <w:lang w:val="en-US"/>
              </w:rPr>
            </w:pPr>
            <w:r>
              <w:rPr>
                <w:color w:val="000000"/>
              </w:rPr>
              <w:t>MOBILE</w:t>
            </w:r>
            <w:ins w:id="77" w:author="rev1" w:date="2018-09-17T01:14:00Z">
              <w:r>
                <w:rPr>
                  <w:color w:val="000000"/>
                </w:rPr>
                <w:t xml:space="preserve"> </w:t>
              </w:r>
              <w:r w:rsidRPr="00C41447">
                <w:rPr>
                  <w:color w:val="000000"/>
                </w:rPr>
                <w:t>ADD 5.H113</w:t>
              </w:r>
            </w:ins>
          </w:p>
        </w:tc>
        <w:tc>
          <w:tcPr>
            <w:tcW w:w="6201" w:type="dxa"/>
            <w:gridSpan w:val="2"/>
            <w:tcBorders>
              <w:top w:val="single" w:sz="4" w:space="0" w:color="auto"/>
              <w:left w:val="single" w:sz="6" w:space="0" w:color="auto"/>
              <w:bottom w:val="nil"/>
              <w:right w:val="single" w:sz="4" w:space="0" w:color="auto"/>
            </w:tcBorders>
            <w:hideMark/>
          </w:tcPr>
          <w:p w14:paraId="0E218FB2" w14:textId="77777777" w:rsidR="00FB2BC3" w:rsidRPr="006354F0" w:rsidRDefault="00FB2BC3" w:rsidP="007503E8">
            <w:pPr>
              <w:pStyle w:val="TableTextS5"/>
              <w:spacing w:before="30" w:after="30"/>
              <w:rPr>
                <w:rStyle w:val="Tablefreq"/>
              </w:rPr>
            </w:pPr>
            <w:r w:rsidRPr="006354F0">
              <w:rPr>
                <w:rStyle w:val="Tablefreq"/>
              </w:rPr>
              <w:t>48.2-50.2</w:t>
            </w:r>
          </w:p>
          <w:p w14:paraId="389246B4" w14:textId="77777777" w:rsidR="00FB2BC3" w:rsidRDefault="00FB2BC3" w:rsidP="007503E8">
            <w:pPr>
              <w:pStyle w:val="TableTextS5"/>
              <w:tabs>
                <w:tab w:val="clear" w:pos="170"/>
              </w:tabs>
              <w:spacing w:before="30" w:after="30"/>
              <w:rPr>
                <w:color w:val="000000"/>
              </w:rPr>
            </w:pPr>
            <w:r>
              <w:rPr>
                <w:color w:val="000000"/>
              </w:rPr>
              <w:tab/>
            </w:r>
            <w:r>
              <w:rPr>
                <w:color w:val="000000"/>
              </w:rPr>
              <w:tab/>
              <w:t>FIXED</w:t>
            </w:r>
          </w:p>
          <w:p w14:paraId="5EAF3337" w14:textId="77777777" w:rsidR="00FB2BC3" w:rsidRDefault="00FB2BC3" w:rsidP="007503E8">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p>
          <w:p w14:paraId="024CBE4B" w14:textId="28B445E2" w:rsidR="00FB2BC3" w:rsidRDefault="00FB2BC3" w:rsidP="007503E8">
            <w:pPr>
              <w:pStyle w:val="TableTextS5"/>
              <w:tabs>
                <w:tab w:val="clear" w:pos="170"/>
              </w:tabs>
              <w:spacing w:before="30" w:after="30"/>
              <w:rPr>
                <w:color w:val="000000"/>
                <w:lang w:val="fr-FR"/>
              </w:rPr>
            </w:pPr>
            <w:r>
              <w:rPr>
                <w:color w:val="000000"/>
              </w:rPr>
              <w:tab/>
            </w:r>
            <w:r>
              <w:rPr>
                <w:color w:val="000000"/>
              </w:rPr>
              <w:tab/>
              <w:t>MOBILE</w:t>
            </w:r>
            <w:ins w:id="78" w:author="rev1" w:date="2018-09-17T01:14:00Z">
              <w:r w:rsidRPr="00C41447">
                <w:rPr>
                  <w:color w:val="000000"/>
                </w:rPr>
                <w:t xml:space="preserve"> ADD 5.H113</w:t>
              </w:r>
            </w:ins>
          </w:p>
        </w:tc>
      </w:tr>
      <w:tr w:rsidR="00FB2BC3" w14:paraId="764915D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397203D7" w14:textId="77777777" w:rsidR="00FB2BC3" w:rsidRPr="006354F0" w:rsidRDefault="00FB2BC3" w:rsidP="007503E8">
            <w:pPr>
              <w:pStyle w:val="TableTextS5"/>
              <w:spacing w:before="30" w:after="30"/>
              <w:rPr>
                <w:rStyle w:val="Tablefreq"/>
              </w:rPr>
            </w:pPr>
            <w:r w:rsidRPr="006354F0">
              <w:rPr>
                <w:rStyle w:val="Tablefreq"/>
              </w:rPr>
              <w:t>48.54-49.44</w:t>
            </w:r>
          </w:p>
          <w:p w14:paraId="660A11DD" w14:textId="77777777" w:rsidR="00FB2BC3" w:rsidRDefault="00FB2BC3" w:rsidP="007503E8">
            <w:pPr>
              <w:pStyle w:val="TableTextS5"/>
              <w:spacing w:before="30" w:after="30"/>
              <w:rPr>
                <w:color w:val="000000"/>
              </w:rPr>
            </w:pPr>
            <w:r>
              <w:rPr>
                <w:color w:val="000000"/>
              </w:rPr>
              <w:t>FIXED</w:t>
            </w:r>
          </w:p>
          <w:p w14:paraId="2B5C456B" w14:textId="77777777" w:rsidR="00FB2BC3" w:rsidRDefault="00FB2BC3" w:rsidP="007503E8">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p>
          <w:p w14:paraId="0DDFF690" w14:textId="6EFD17AE" w:rsidR="00FB2BC3" w:rsidRDefault="00FB2BC3" w:rsidP="007503E8">
            <w:pPr>
              <w:pStyle w:val="TableTextS5"/>
              <w:spacing w:before="30" w:after="30"/>
              <w:rPr>
                <w:color w:val="000000"/>
              </w:rPr>
            </w:pPr>
            <w:r>
              <w:rPr>
                <w:color w:val="000000"/>
              </w:rPr>
              <w:t>MOBILE</w:t>
            </w:r>
            <w:ins w:id="79" w:author="rev1" w:date="2018-09-17T01:15:00Z">
              <w:r w:rsidRPr="00C41447">
                <w:rPr>
                  <w:color w:val="000000"/>
                </w:rPr>
                <w:t xml:space="preserve"> ADD 5.H113</w:t>
              </w:r>
            </w:ins>
          </w:p>
          <w:p w14:paraId="640299DF" w14:textId="77777777" w:rsidR="00FB2BC3" w:rsidRDefault="00FB2BC3" w:rsidP="007503E8">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14:paraId="52D5FC9E" w14:textId="77777777" w:rsidR="00FB2BC3" w:rsidRDefault="00FB2BC3" w:rsidP="007503E8">
            <w:pPr>
              <w:pStyle w:val="TableTextS5"/>
              <w:spacing w:before="30" w:after="30"/>
              <w:rPr>
                <w:rStyle w:val="Tablefreq"/>
                <w:color w:val="000000"/>
                <w:lang w:val="fr-FR"/>
              </w:rPr>
            </w:pPr>
          </w:p>
        </w:tc>
      </w:tr>
      <w:tr w:rsidR="00FB2BC3" w14:paraId="75995F4E"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6CD8784E" w14:textId="77777777" w:rsidR="00FB2BC3" w:rsidRPr="006354F0" w:rsidRDefault="00FB2BC3" w:rsidP="007503E8">
            <w:pPr>
              <w:pStyle w:val="TableTextS5"/>
              <w:spacing w:before="30" w:after="30"/>
              <w:rPr>
                <w:rStyle w:val="Tablefreq"/>
              </w:rPr>
            </w:pPr>
            <w:r w:rsidRPr="006354F0">
              <w:rPr>
                <w:rStyle w:val="Tablefreq"/>
              </w:rPr>
              <w:t>49.44-50.2</w:t>
            </w:r>
          </w:p>
          <w:p w14:paraId="478C2B04" w14:textId="77777777" w:rsidR="00FB2BC3" w:rsidRDefault="00FB2BC3" w:rsidP="007503E8">
            <w:pPr>
              <w:pStyle w:val="TableTextS5"/>
              <w:spacing w:before="30" w:after="30"/>
              <w:rPr>
                <w:color w:val="000000"/>
              </w:rPr>
            </w:pPr>
            <w:r>
              <w:rPr>
                <w:color w:val="000000"/>
              </w:rPr>
              <w:t>FIXED</w:t>
            </w:r>
          </w:p>
          <w:p w14:paraId="675B1AD5" w14:textId="77777777" w:rsidR="00FB2BC3" w:rsidRDefault="00FB2BC3" w:rsidP="007503E8">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2D214A2D" w14:textId="6C8ACD8F" w:rsidR="00FB2BC3" w:rsidRDefault="00FB2BC3" w:rsidP="007503E8">
            <w:pPr>
              <w:pStyle w:val="TableTextS5"/>
              <w:spacing w:before="30" w:after="30"/>
              <w:rPr>
                <w:rStyle w:val="Tablefreq"/>
                <w:color w:val="000000"/>
                <w:lang w:val="fr-FR"/>
              </w:rPr>
            </w:pPr>
            <w:r>
              <w:rPr>
                <w:color w:val="000000"/>
              </w:rPr>
              <w:t>MOBILE</w:t>
            </w:r>
            <w:ins w:id="80" w:author="rev1" w:date="2018-09-17T01:15:00Z">
              <w:r w:rsidRPr="00C41447">
                <w:rPr>
                  <w:color w:val="000000"/>
                </w:rPr>
                <w:t xml:space="preserve"> ADD 5.H113</w:t>
              </w:r>
            </w:ins>
          </w:p>
        </w:tc>
        <w:tc>
          <w:tcPr>
            <w:tcW w:w="6201" w:type="dxa"/>
            <w:gridSpan w:val="2"/>
            <w:tcBorders>
              <w:top w:val="nil"/>
              <w:left w:val="single" w:sz="6" w:space="0" w:color="auto"/>
              <w:bottom w:val="single" w:sz="4" w:space="0" w:color="auto"/>
              <w:right w:val="single" w:sz="4" w:space="0" w:color="auto"/>
            </w:tcBorders>
          </w:tcPr>
          <w:p w14:paraId="7127704B" w14:textId="77777777" w:rsidR="00FB2BC3" w:rsidRPr="00EA3F53" w:rsidRDefault="00FB2BC3" w:rsidP="007503E8">
            <w:pPr>
              <w:pStyle w:val="TableTextS5"/>
              <w:tabs>
                <w:tab w:val="clear" w:pos="170"/>
                <w:tab w:val="left" w:pos="459"/>
              </w:tabs>
              <w:spacing w:before="0" w:after="30"/>
              <w:rPr>
                <w:b/>
              </w:rPr>
            </w:pPr>
          </w:p>
          <w:p w14:paraId="110BE62F" w14:textId="77777777" w:rsidR="00FB2BC3" w:rsidRPr="00EA3F53" w:rsidRDefault="00FB2BC3" w:rsidP="007503E8">
            <w:pPr>
              <w:pStyle w:val="TableTextS5"/>
              <w:tabs>
                <w:tab w:val="clear" w:pos="170"/>
                <w:tab w:val="left" w:pos="459"/>
              </w:tabs>
              <w:spacing w:before="0" w:after="30"/>
              <w:rPr>
                <w:b/>
              </w:rPr>
            </w:pPr>
          </w:p>
          <w:p w14:paraId="108A5326" w14:textId="77777777" w:rsidR="00FB2BC3" w:rsidRDefault="00FB2BC3" w:rsidP="007503E8">
            <w:pPr>
              <w:pStyle w:val="TableTextS5"/>
              <w:tabs>
                <w:tab w:val="clear" w:pos="170"/>
              </w:tabs>
              <w:spacing w:before="0" w:after="30"/>
              <w:ind w:left="567" w:hanging="567"/>
              <w:rPr>
                <w:rStyle w:val="Artref"/>
                <w:color w:val="000000"/>
              </w:rPr>
            </w:pPr>
          </w:p>
          <w:p w14:paraId="25A48384" w14:textId="77777777" w:rsidR="00FB2BC3" w:rsidRDefault="00FB2BC3" w:rsidP="007503E8">
            <w:pPr>
              <w:pStyle w:val="TableTextS5"/>
              <w:tabs>
                <w:tab w:val="clear" w:pos="170"/>
              </w:tabs>
              <w:spacing w:before="0" w:after="30"/>
              <w:ind w:left="567" w:hanging="567"/>
              <w:rPr>
                <w:rStyle w:val="Artref"/>
                <w:color w:val="000000"/>
              </w:rPr>
            </w:pPr>
          </w:p>
          <w:p w14:paraId="335626F6" w14:textId="77777777" w:rsidR="00FB2BC3" w:rsidRDefault="00FB2BC3" w:rsidP="007503E8">
            <w:pPr>
              <w:pStyle w:val="TableTextS5"/>
              <w:tabs>
                <w:tab w:val="clear" w:pos="170"/>
              </w:tabs>
              <w:spacing w:before="0" w:after="30"/>
              <w:ind w:left="567" w:hanging="567"/>
              <w:rPr>
                <w:rStyle w:val="Artref"/>
                <w:color w:val="000000"/>
              </w:rPr>
            </w:pPr>
          </w:p>
          <w:p w14:paraId="0B217433" w14:textId="77777777" w:rsidR="00FB2BC3" w:rsidRDefault="00FB2BC3" w:rsidP="007503E8">
            <w:pPr>
              <w:pStyle w:val="TableTextS5"/>
              <w:tabs>
                <w:tab w:val="clear" w:pos="170"/>
              </w:tabs>
              <w:spacing w:before="0" w:after="30"/>
              <w:ind w:left="567" w:hanging="567"/>
              <w:rPr>
                <w:rStyle w:val="Artref"/>
                <w:color w:val="000000"/>
              </w:rPr>
            </w:pPr>
          </w:p>
          <w:p w14:paraId="1D739149" w14:textId="77777777" w:rsidR="00FB2BC3" w:rsidRDefault="00FB2BC3" w:rsidP="007503E8">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bl>
    <w:p w14:paraId="1FCBD27A" w14:textId="77777777" w:rsidR="00FB2BC3" w:rsidRDefault="00FB2BC3" w:rsidP="00FB2BC3">
      <w:pPr>
        <w:widowControl w:val="0"/>
        <w:spacing w:line="120" w:lineRule="exact"/>
      </w:pPr>
    </w:p>
    <w:p w14:paraId="7DE8A31A" w14:textId="000B6207" w:rsidR="00221E5A" w:rsidRPr="003C71CD" w:rsidRDefault="00221E5A" w:rsidP="00221E5A">
      <w:pPr>
        <w:widowControl w:val="0"/>
        <w:rPr>
          <w:ins w:id="81" w:author="rev1" w:date="2018-09-17T01:34:00Z"/>
        </w:rPr>
      </w:pPr>
      <w:ins w:id="82" w:author="rev1" w:date="2018-09-17T01:34:00Z">
        <w:r>
          <w:rPr>
            <w:rStyle w:val="Artdef"/>
            <w:color w:val="000000"/>
          </w:rPr>
          <w:t xml:space="preserve">Reasons:  </w:t>
        </w:r>
        <w:r w:rsidRPr="00221E5A">
          <w:rPr>
            <w:rStyle w:val="Artdef"/>
            <w:b w:val="0"/>
            <w:color w:val="000000"/>
          </w:rPr>
          <w:t xml:space="preserve">As studies show sharing with other services operating in </w:t>
        </w:r>
      </w:ins>
      <w:ins w:id="83" w:author="rev1" w:date="2018-09-17T02:14:00Z">
        <w:r w:rsidR="003F74D1">
          <w:rPr>
            <w:rStyle w:val="Artdef"/>
            <w:b w:val="0"/>
            <w:color w:val="000000"/>
          </w:rPr>
          <w:t>47.2-50.2</w:t>
        </w:r>
      </w:ins>
      <w:ins w:id="84" w:author="rev1" w:date="2018-09-17T01:34:00Z">
        <w:r w:rsidRPr="00221E5A">
          <w:rPr>
            <w:rStyle w:val="Artdef"/>
            <w:b w:val="0"/>
            <w:color w:val="000000"/>
          </w:rPr>
          <w:t xml:space="preserve"> GHz is feasible, these </w:t>
        </w:r>
        <w:r w:rsidRPr="00221E5A">
          <w:rPr>
            <w:rStyle w:val="Artdef"/>
            <w:b w:val="0"/>
            <w:color w:val="000000"/>
          </w:rPr>
          <w:lastRenderedPageBreak/>
          <w:t>modifications provide an identification for IMT in the frequency range 47</w:t>
        </w:r>
      </w:ins>
      <w:ins w:id="85" w:author="rev1" w:date="2018-09-17T01:35:00Z">
        <w:r w:rsidRPr="00221E5A">
          <w:rPr>
            <w:rStyle w:val="Artdef"/>
            <w:b w:val="0"/>
            <w:color w:val="000000"/>
          </w:rPr>
          <w:t>.2</w:t>
        </w:r>
      </w:ins>
      <w:ins w:id="86" w:author="rev1" w:date="2018-09-17T01:34:00Z">
        <w:r w:rsidRPr="00221E5A">
          <w:rPr>
            <w:rStyle w:val="Artdef"/>
            <w:b w:val="0"/>
            <w:color w:val="000000"/>
          </w:rPr>
          <w:t xml:space="preserve"> to 5</w:t>
        </w:r>
      </w:ins>
      <w:ins w:id="87" w:author="rev1" w:date="2018-09-17T01:35:00Z">
        <w:r w:rsidRPr="00221E5A">
          <w:rPr>
            <w:rStyle w:val="Artdef"/>
            <w:b w:val="0"/>
            <w:color w:val="000000"/>
          </w:rPr>
          <w:t>0.2</w:t>
        </w:r>
      </w:ins>
      <w:ins w:id="88" w:author="rev1" w:date="2018-09-17T01:34:00Z">
        <w:r w:rsidRPr="00221E5A">
          <w:rPr>
            <w:rStyle w:val="Artdef"/>
            <w:b w:val="0"/>
            <w:color w:val="000000"/>
          </w:rPr>
          <w:t xml:space="preserve"> GHz</w:t>
        </w:r>
      </w:ins>
      <w:ins w:id="89" w:author="rev1" w:date="2018-09-17T01:35:00Z">
        <w:r w:rsidRPr="00221E5A">
          <w:rPr>
            <w:rStyle w:val="Artdef"/>
            <w:b w:val="0"/>
            <w:color w:val="000000"/>
          </w:rPr>
          <w:t>.</w:t>
        </w:r>
      </w:ins>
      <w:ins w:id="90" w:author="rev1" w:date="2018-09-17T01:34:00Z">
        <w:r w:rsidRPr="00221E5A">
          <w:rPr>
            <w:rStyle w:val="Artdef"/>
            <w:b w:val="0"/>
            <w:color w:val="000000"/>
          </w:rPr>
          <w:t xml:space="preserve"> This facilitates harmonized worldwide bands for IMT, which are highly desirable in order to achieve global roaming and the benefits of economies of scale.</w:t>
        </w:r>
        <w:r>
          <w:rPr>
            <w:rStyle w:val="Artdef"/>
            <w:color w:val="000000"/>
          </w:rPr>
          <w:t xml:space="preserve">  </w:t>
        </w:r>
      </w:ins>
    </w:p>
    <w:p w14:paraId="363DDA33" w14:textId="77777777" w:rsidR="00221E5A" w:rsidRDefault="00221E5A" w:rsidP="00FB2BC3">
      <w:pPr>
        <w:keepNext/>
        <w:spacing w:before="240"/>
        <w:rPr>
          <w:ins w:id="91" w:author="rev1" w:date="2018-09-17T01:34:00Z"/>
          <w:b/>
          <w:szCs w:val="24"/>
        </w:rPr>
      </w:pPr>
    </w:p>
    <w:p w14:paraId="63624027" w14:textId="2D2E383D" w:rsidR="00BA3156" w:rsidRPr="00FB2BC3" w:rsidRDefault="00FB2BC3" w:rsidP="00FB2BC3">
      <w:pPr>
        <w:keepNext/>
        <w:spacing w:before="240"/>
        <w:rPr>
          <w:b/>
          <w:szCs w:val="24"/>
        </w:rPr>
      </w:pPr>
      <w:ins w:id="92" w:author="rev1" w:date="2018-09-17T01:17:00Z">
        <w:r w:rsidRPr="00FB2BC3">
          <w:rPr>
            <w:b/>
            <w:szCs w:val="24"/>
          </w:rPr>
          <w:t xml:space="preserve">ADD </w:t>
        </w:r>
        <w:r w:rsidRPr="00FB2BC3">
          <w:rPr>
            <w:b/>
            <w:szCs w:val="24"/>
          </w:rPr>
          <w:tab/>
        </w:r>
      </w:ins>
      <w:r w:rsidR="000C5770" w:rsidRPr="00FB2BC3">
        <w:rPr>
          <w:b/>
          <w:szCs w:val="24"/>
        </w:rPr>
        <w:t>USA/1.13/2</w:t>
      </w:r>
    </w:p>
    <w:p w14:paraId="4B43F0CF" w14:textId="77777777" w:rsidR="00B916FF" w:rsidRPr="00B916FF" w:rsidRDefault="00B916FF" w:rsidP="00B916FF">
      <w:pPr>
        <w:rPr>
          <w:sz w:val="16"/>
        </w:rPr>
      </w:pPr>
      <w:r w:rsidRPr="00B916FF">
        <w:rPr>
          <w:b/>
        </w:rPr>
        <w:t>5</w:t>
      </w:r>
      <w:r w:rsidR="000C5770">
        <w:rPr>
          <w:b/>
        </w:rPr>
        <w:t>.H113</w:t>
      </w:r>
      <w:r w:rsidRPr="00B916FF">
        <w:rPr>
          <w:b/>
        </w:rPr>
        <w:tab/>
      </w:r>
      <w:r w:rsidRPr="00B916FF">
        <w:t xml:space="preserve">The frequency band 47.2-50.2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w:t>
      </w:r>
    </w:p>
    <w:p w14:paraId="087A0A79" w14:textId="77777777" w:rsidR="00BA3156" w:rsidRDefault="00BA3156" w:rsidP="00E10FED">
      <w:pPr>
        <w:rPr>
          <w:ins w:id="93" w:author="rev1" w:date="2018-09-17T01:32:00Z"/>
        </w:rPr>
      </w:pPr>
    </w:p>
    <w:p w14:paraId="567D23EF" w14:textId="469ADB45" w:rsidR="00221E5A" w:rsidRPr="004F1A06" w:rsidRDefault="00221E5A" w:rsidP="00E10FED">
      <w:ins w:id="94" w:author="rev1" w:date="2018-09-17T01:32:00Z">
        <w:r w:rsidRPr="00221E5A">
          <w:rPr>
            <w:b/>
          </w:rPr>
          <w:t>Reasons</w:t>
        </w:r>
      </w:ins>
      <w:ins w:id="95" w:author="rev1" w:date="2018-09-17T01:33:00Z">
        <w:r>
          <w:t xml:space="preserve">:  </w:t>
        </w:r>
        <w:r w:rsidRPr="00221E5A">
          <w:rPr>
            <w:rStyle w:val="Artdef"/>
            <w:b w:val="0"/>
            <w:color w:val="000000"/>
          </w:rPr>
          <w:t xml:space="preserve">Harmonized worldwide bands for IMT enable global roaming and the benefits of economies of scale as the same user </w:t>
        </w:r>
        <w:r w:rsidRPr="00221E5A">
          <w:t>equipment can be used to serve the global market</w:t>
        </w:r>
        <w:r w:rsidRPr="00221E5A">
          <w:rPr>
            <w:rStyle w:val="Artdef"/>
            <w:color w:val="000000"/>
          </w:rPr>
          <w:t>.</w:t>
        </w:r>
        <w:r>
          <w:rPr>
            <w:rStyle w:val="Artdef"/>
            <w:color w:val="000000"/>
          </w:rPr>
          <w:t xml:space="preserve">  </w:t>
        </w:r>
      </w:ins>
    </w:p>
    <w:sectPr w:rsidR="00221E5A" w:rsidRPr="004F1A06" w:rsidSect="007568B7">
      <w:headerReference w:type="default" r:id="rId8"/>
      <w:headerReference w:type="first" r:id="rId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FF5D1" w14:textId="77777777" w:rsidR="00092D5E" w:rsidRDefault="00092D5E">
      <w:r>
        <w:separator/>
      </w:r>
    </w:p>
  </w:endnote>
  <w:endnote w:type="continuationSeparator" w:id="0">
    <w:p w14:paraId="75285A95" w14:textId="77777777" w:rsidR="00092D5E" w:rsidRDefault="0009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78BA3" w14:textId="77777777" w:rsidR="00092D5E" w:rsidRDefault="00092D5E">
      <w:r>
        <w:t>____________________</w:t>
      </w:r>
    </w:p>
  </w:footnote>
  <w:footnote w:type="continuationSeparator" w:id="0">
    <w:p w14:paraId="0C5BE416" w14:textId="77777777" w:rsidR="00092D5E" w:rsidRDefault="00092D5E">
      <w:r>
        <w:continuationSeparator/>
      </w:r>
    </w:p>
  </w:footnote>
  <w:footnote w:id="1">
    <w:p w14:paraId="48394FFD" w14:textId="77777777" w:rsidR="00FB2BC3" w:rsidRPr="00DE57FD" w:rsidRDefault="00FB2BC3" w:rsidP="00FB2BC3">
      <w:pPr>
        <w:pStyle w:val="FootnoteText"/>
        <w:rPr>
          <w:ins w:id="4" w:author="rev1" w:date="2018-09-17T01:28:00Z"/>
          <w:szCs w:val="24"/>
        </w:rPr>
      </w:pPr>
      <w:ins w:id="5" w:author="rev1" w:date="2018-09-17T01:28:00Z">
        <w:r w:rsidRPr="00DE57FD">
          <w:rPr>
            <w:rStyle w:val="FootnoteReference"/>
            <w:szCs w:val="24"/>
          </w:rPr>
          <w:footnoteRef/>
        </w:r>
        <w:r w:rsidRPr="00DE57FD">
          <w:rPr>
            <w:szCs w:val="24"/>
          </w:rPr>
          <w:t xml:space="preserve"> ICT Facts and Figures 2017, p 4 and 5. See: https://www.itu.int/en/ITU-D/Statistics/Documents/facts/ICTFactsFigures2017.pdf</w:t>
        </w:r>
      </w:ins>
    </w:p>
  </w:footnote>
  <w:footnote w:id="2">
    <w:p w14:paraId="52DFC516" w14:textId="77777777" w:rsidR="00DD104A" w:rsidRPr="0007745B" w:rsidDel="00FB2BC3" w:rsidRDefault="00DD104A" w:rsidP="00DD104A">
      <w:pPr>
        <w:pStyle w:val="FootnoteText"/>
        <w:rPr>
          <w:del w:id="64" w:author="rev1" w:date="2018-09-17T01:28:00Z"/>
          <w:lang w:val="en-US"/>
        </w:rPr>
      </w:pPr>
      <w:del w:id="65" w:author="rev1" w:date="2018-09-17T01:28:00Z">
        <w:r w:rsidDel="00FB2BC3">
          <w:rPr>
            <w:rStyle w:val="FootnoteReference"/>
          </w:rPr>
          <w:footnoteRef/>
        </w:r>
        <w:r w:rsidDel="00FB2BC3">
          <w:delText xml:space="preserve"> </w:delText>
        </w:r>
        <w:r w:rsidDel="00FB2BC3">
          <w:rPr>
            <w:lang w:val="en-US"/>
          </w:rPr>
          <w:delText xml:space="preserve">Alan Weissberger, IEEE Communication Society Blog, </w:delText>
        </w:r>
        <w:r w:rsidRPr="0007745B" w:rsidDel="00FB2BC3">
          <w:rPr>
            <w:i/>
          </w:rPr>
          <w:delText>NSR: Satellite IoT market forecast at $2.9B by 2026</w:delText>
        </w:r>
        <w:r w:rsidDel="00FB2BC3">
          <w:delText xml:space="preserve"> (Oct. 1, 2017) (</w:delText>
        </w:r>
        <w:r w:rsidRPr="0007745B" w:rsidDel="00FB2BC3">
          <w:rPr>
            <w:i/>
          </w:rPr>
          <w:delText>available at</w:delText>
        </w:r>
        <w:r w:rsidDel="00FB2BC3">
          <w:delText xml:space="preserve"> </w:delText>
        </w:r>
        <w:r w:rsidR="00F9503E" w:rsidDel="00FB2BC3">
          <w:fldChar w:fldCharType="begin"/>
        </w:r>
        <w:r w:rsidR="00F9503E" w:rsidDel="00FB2BC3">
          <w:delInstrText xml:space="preserve"> HYPERLINK "http://techblog.comsoc.org/2017/10/01/nsr-satellite-iot-market-forecast-at-2-9b-by-2026/" </w:delInstrText>
        </w:r>
        <w:r w:rsidR="00F9503E" w:rsidDel="00FB2BC3">
          <w:fldChar w:fldCharType="separate"/>
        </w:r>
        <w:r w:rsidRPr="00103250" w:rsidDel="00FB2BC3">
          <w:rPr>
            <w:rStyle w:val="Hyperlink"/>
          </w:rPr>
          <w:delText>http://techblog.comsoc.org/2017/10/01/nsr-satellite-iot-market-forecast-at-2-9b-by-2026/</w:delText>
        </w:r>
        <w:r w:rsidR="00F9503E" w:rsidDel="00FB2BC3">
          <w:rPr>
            <w:rStyle w:val="Hyperlink"/>
          </w:rPr>
          <w:fldChar w:fldCharType="end"/>
        </w:r>
        <w:r w:rsidDel="00FB2BC3">
          <w:delText xml:space="preserve">). </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781C4" w14:textId="3D301F69" w:rsidR="007568B7" w:rsidRDefault="007568B7" w:rsidP="007568B7">
    <w:pPr>
      <w:pStyle w:val="Header"/>
      <w:jc w:val="right"/>
      <w:rPr>
        <w:sz w:val="24"/>
        <w:szCs w:val="24"/>
      </w:rPr>
    </w:pPr>
    <w:r w:rsidRPr="00C95B12">
      <w:rPr>
        <w:sz w:val="24"/>
        <w:szCs w:val="24"/>
      </w:rPr>
      <w:t>IWG-</w:t>
    </w:r>
    <w:r w:rsidR="001D1A1C" w:rsidRPr="00C95B12">
      <w:rPr>
        <w:sz w:val="24"/>
        <w:szCs w:val="24"/>
      </w:rPr>
      <w:t>2</w:t>
    </w:r>
    <w:r w:rsidRPr="00C95B12">
      <w:rPr>
        <w:sz w:val="24"/>
        <w:szCs w:val="24"/>
      </w:rPr>
      <w:t>/</w:t>
    </w:r>
    <w:r w:rsidR="00C01CC4">
      <w:rPr>
        <w:sz w:val="24"/>
        <w:szCs w:val="24"/>
      </w:rPr>
      <w:t>0</w:t>
    </w:r>
    <w:r w:rsidR="003272CB">
      <w:rPr>
        <w:sz w:val="24"/>
        <w:szCs w:val="24"/>
      </w:rPr>
      <w:t>83</w:t>
    </w:r>
    <w:r w:rsidR="00FB2BC3">
      <w:rPr>
        <w:sz w:val="24"/>
        <w:szCs w:val="24"/>
      </w:rPr>
      <w:t>r1</w:t>
    </w:r>
    <w:r w:rsidR="005675EF" w:rsidRPr="00C95B12">
      <w:rPr>
        <w:sz w:val="24"/>
        <w:szCs w:val="24"/>
      </w:rPr>
      <w:t xml:space="preserve"> </w:t>
    </w:r>
    <w:r w:rsidRPr="00C95B12">
      <w:rPr>
        <w:sz w:val="24"/>
        <w:szCs w:val="24"/>
      </w:rPr>
      <w:t>(</w:t>
    </w:r>
    <w:r w:rsidR="00FB2BC3">
      <w:rPr>
        <w:sz w:val="24"/>
        <w:szCs w:val="24"/>
      </w:rPr>
      <w:t>18</w:t>
    </w:r>
    <w:r w:rsidR="003272CB">
      <w:rPr>
        <w:sz w:val="24"/>
        <w:szCs w:val="24"/>
      </w:rPr>
      <w:t>.09</w:t>
    </w:r>
    <w:r w:rsidRPr="00C95B12">
      <w:rPr>
        <w:sz w:val="24"/>
        <w:szCs w:val="24"/>
      </w:rPr>
      <w:t>.18)</w:t>
    </w:r>
  </w:p>
  <w:p w14:paraId="691A3B5B" w14:textId="7F53707B" w:rsidR="00B35642" w:rsidRPr="00C95B12" w:rsidRDefault="003272CB" w:rsidP="007568B7">
    <w:pPr>
      <w:pStyle w:val="Header"/>
      <w:jc w:val="right"/>
      <w:rPr>
        <w:i/>
        <w:sz w:val="24"/>
        <w:szCs w:val="24"/>
      </w:rPr>
    </w:pPr>
    <w:r>
      <w:rPr>
        <w:sz w:val="24"/>
        <w:szCs w:val="24"/>
      </w:rPr>
      <w:t>Veena Rawat- GSMA</w:t>
    </w:r>
  </w:p>
  <w:p w14:paraId="2E63F544"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D46CB" w14:textId="77777777"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2141B071"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CH"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03C6"/>
    <w:rsid w:val="000242FE"/>
    <w:rsid w:val="00047A1D"/>
    <w:rsid w:val="000566F0"/>
    <w:rsid w:val="000604B9"/>
    <w:rsid w:val="00064B24"/>
    <w:rsid w:val="00065482"/>
    <w:rsid w:val="0007745B"/>
    <w:rsid w:val="00080A14"/>
    <w:rsid w:val="0008608B"/>
    <w:rsid w:val="00092D5E"/>
    <w:rsid w:val="0009376D"/>
    <w:rsid w:val="000A7D55"/>
    <w:rsid w:val="000B6C1D"/>
    <w:rsid w:val="000C12C8"/>
    <w:rsid w:val="000C2E8E"/>
    <w:rsid w:val="000C5770"/>
    <w:rsid w:val="000C604E"/>
    <w:rsid w:val="000E0E7C"/>
    <w:rsid w:val="000F1B4B"/>
    <w:rsid w:val="00106007"/>
    <w:rsid w:val="00117D0F"/>
    <w:rsid w:val="00117E95"/>
    <w:rsid w:val="001266C7"/>
    <w:rsid w:val="0012744F"/>
    <w:rsid w:val="00130001"/>
    <w:rsid w:val="00131178"/>
    <w:rsid w:val="00133E43"/>
    <w:rsid w:val="001413AA"/>
    <w:rsid w:val="00156F66"/>
    <w:rsid w:val="00163271"/>
    <w:rsid w:val="001663FC"/>
    <w:rsid w:val="00182528"/>
    <w:rsid w:val="001849EC"/>
    <w:rsid w:val="0018500B"/>
    <w:rsid w:val="00193C8F"/>
    <w:rsid w:val="00196A19"/>
    <w:rsid w:val="001B0065"/>
    <w:rsid w:val="001D1A1C"/>
    <w:rsid w:val="001F1F8E"/>
    <w:rsid w:val="001F6DA7"/>
    <w:rsid w:val="00202DC1"/>
    <w:rsid w:val="00204045"/>
    <w:rsid w:val="002116EE"/>
    <w:rsid w:val="00221E5A"/>
    <w:rsid w:val="002309D8"/>
    <w:rsid w:val="00243FF1"/>
    <w:rsid w:val="00251747"/>
    <w:rsid w:val="00261AAA"/>
    <w:rsid w:val="00270BEA"/>
    <w:rsid w:val="002735AB"/>
    <w:rsid w:val="0027472B"/>
    <w:rsid w:val="002A3E53"/>
    <w:rsid w:val="002A5106"/>
    <w:rsid w:val="002A7FE2"/>
    <w:rsid w:val="002B05F5"/>
    <w:rsid w:val="002B0FB9"/>
    <w:rsid w:val="002C6755"/>
    <w:rsid w:val="002E1B4F"/>
    <w:rsid w:val="002F2E67"/>
    <w:rsid w:val="002F7CB3"/>
    <w:rsid w:val="00312288"/>
    <w:rsid w:val="00315546"/>
    <w:rsid w:val="003176CF"/>
    <w:rsid w:val="003272CB"/>
    <w:rsid w:val="00330567"/>
    <w:rsid w:val="003353AD"/>
    <w:rsid w:val="003408F2"/>
    <w:rsid w:val="003423E5"/>
    <w:rsid w:val="00363727"/>
    <w:rsid w:val="00364EBA"/>
    <w:rsid w:val="00386A9D"/>
    <w:rsid w:val="00390E59"/>
    <w:rsid w:val="00391081"/>
    <w:rsid w:val="00392F7E"/>
    <w:rsid w:val="00394CCD"/>
    <w:rsid w:val="003A420A"/>
    <w:rsid w:val="003B2789"/>
    <w:rsid w:val="003B3222"/>
    <w:rsid w:val="003B5C1E"/>
    <w:rsid w:val="003B7F26"/>
    <w:rsid w:val="003C13CE"/>
    <w:rsid w:val="003D2A7C"/>
    <w:rsid w:val="003E02A0"/>
    <w:rsid w:val="003E2518"/>
    <w:rsid w:val="003E7CEF"/>
    <w:rsid w:val="003F71F2"/>
    <w:rsid w:val="003F74D1"/>
    <w:rsid w:val="00450E8D"/>
    <w:rsid w:val="00471A71"/>
    <w:rsid w:val="00474ACC"/>
    <w:rsid w:val="004903AF"/>
    <w:rsid w:val="004917A6"/>
    <w:rsid w:val="004977F5"/>
    <w:rsid w:val="004A640D"/>
    <w:rsid w:val="004B1EF7"/>
    <w:rsid w:val="004B3FAD"/>
    <w:rsid w:val="004C5749"/>
    <w:rsid w:val="004D4884"/>
    <w:rsid w:val="004D70BA"/>
    <w:rsid w:val="004E60B2"/>
    <w:rsid w:val="004F1A06"/>
    <w:rsid w:val="00501DCA"/>
    <w:rsid w:val="00513A47"/>
    <w:rsid w:val="005151CA"/>
    <w:rsid w:val="005407AD"/>
    <w:rsid w:val="005408DF"/>
    <w:rsid w:val="00545F81"/>
    <w:rsid w:val="00550527"/>
    <w:rsid w:val="005565B8"/>
    <w:rsid w:val="005650CC"/>
    <w:rsid w:val="005671F0"/>
    <w:rsid w:val="005675EF"/>
    <w:rsid w:val="00570F78"/>
    <w:rsid w:val="00573344"/>
    <w:rsid w:val="00573DDD"/>
    <w:rsid w:val="00581B0F"/>
    <w:rsid w:val="00583863"/>
    <w:rsid w:val="00583F9B"/>
    <w:rsid w:val="005A6D14"/>
    <w:rsid w:val="005D4CFD"/>
    <w:rsid w:val="005D5BEA"/>
    <w:rsid w:val="005E5C10"/>
    <w:rsid w:val="005E7C15"/>
    <w:rsid w:val="005F04A7"/>
    <w:rsid w:val="005F2C78"/>
    <w:rsid w:val="006144E4"/>
    <w:rsid w:val="00615601"/>
    <w:rsid w:val="00626940"/>
    <w:rsid w:val="00634191"/>
    <w:rsid w:val="00641676"/>
    <w:rsid w:val="00650299"/>
    <w:rsid w:val="00655FC5"/>
    <w:rsid w:val="006862F2"/>
    <w:rsid w:val="00695308"/>
    <w:rsid w:val="006B5804"/>
    <w:rsid w:val="006C1EC5"/>
    <w:rsid w:val="006C3512"/>
    <w:rsid w:val="006D45DA"/>
    <w:rsid w:val="006E2A47"/>
    <w:rsid w:val="006E2F14"/>
    <w:rsid w:val="006E50E3"/>
    <w:rsid w:val="00703853"/>
    <w:rsid w:val="00710068"/>
    <w:rsid w:val="007117DC"/>
    <w:rsid w:val="00724C24"/>
    <w:rsid w:val="00732417"/>
    <w:rsid w:val="00747481"/>
    <w:rsid w:val="007568B7"/>
    <w:rsid w:val="00757C51"/>
    <w:rsid w:val="00795083"/>
    <w:rsid w:val="007A0F55"/>
    <w:rsid w:val="007A54D0"/>
    <w:rsid w:val="007B78EB"/>
    <w:rsid w:val="007D6533"/>
    <w:rsid w:val="007E3755"/>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61C4A"/>
    <w:rsid w:val="00866900"/>
    <w:rsid w:val="00876A8A"/>
    <w:rsid w:val="00881607"/>
    <w:rsid w:val="00881BA1"/>
    <w:rsid w:val="008C20ED"/>
    <w:rsid w:val="008C2302"/>
    <w:rsid w:val="008C26B8"/>
    <w:rsid w:val="008C79DA"/>
    <w:rsid w:val="008D10AD"/>
    <w:rsid w:val="008F208F"/>
    <w:rsid w:val="008F2933"/>
    <w:rsid w:val="0091101E"/>
    <w:rsid w:val="00913131"/>
    <w:rsid w:val="0092113B"/>
    <w:rsid w:val="00932071"/>
    <w:rsid w:val="00944ECF"/>
    <w:rsid w:val="00945617"/>
    <w:rsid w:val="00953C92"/>
    <w:rsid w:val="00972CE4"/>
    <w:rsid w:val="0098164E"/>
    <w:rsid w:val="00982084"/>
    <w:rsid w:val="009856D4"/>
    <w:rsid w:val="009920E1"/>
    <w:rsid w:val="00994817"/>
    <w:rsid w:val="0099592B"/>
    <w:rsid w:val="00995963"/>
    <w:rsid w:val="00997157"/>
    <w:rsid w:val="009B61EB"/>
    <w:rsid w:val="009C2064"/>
    <w:rsid w:val="009C2721"/>
    <w:rsid w:val="009D1697"/>
    <w:rsid w:val="009D23C4"/>
    <w:rsid w:val="009D3F7C"/>
    <w:rsid w:val="009E31EB"/>
    <w:rsid w:val="009F3A46"/>
    <w:rsid w:val="009F6520"/>
    <w:rsid w:val="00A014F8"/>
    <w:rsid w:val="00A046E6"/>
    <w:rsid w:val="00A07E3F"/>
    <w:rsid w:val="00A12D7D"/>
    <w:rsid w:val="00A1691A"/>
    <w:rsid w:val="00A30DEF"/>
    <w:rsid w:val="00A46799"/>
    <w:rsid w:val="00A5173C"/>
    <w:rsid w:val="00A53CDA"/>
    <w:rsid w:val="00A61AEF"/>
    <w:rsid w:val="00A91046"/>
    <w:rsid w:val="00AA029B"/>
    <w:rsid w:val="00AB1F12"/>
    <w:rsid w:val="00AB30CA"/>
    <w:rsid w:val="00AB5186"/>
    <w:rsid w:val="00AD21DA"/>
    <w:rsid w:val="00AD2345"/>
    <w:rsid w:val="00AE5DE8"/>
    <w:rsid w:val="00AF173A"/>
    <w:rsid w:val="00AF4B8F"/>
    <w:rsid w:val="00B01025"/>
    <w:rsid w:val="00B04F74"/>
    <w:rsid w:val="00B066A4"/>
    <w:rsid w:val="00B07A13"/>
    <w:rsid w:val="00B334BB"/>
    <w:rsid w:val="00B342AC"/>
    <w:rsid w:val="00B35642"/>
    <w:rsid w:val="00B36019"/>
    <w:rsid w:val="00B4279B"/>
    <w:rsid w:val="00B456B9"/>
    <w:rsid w:val="00B45FC9"/>
    <w:rsid w:val="00B5084A"/>
    <w:rsid w:val="00B76F35"/>
    <w:rsid w:val="00B81138"/>
    <w:rsid w:val="00B82CC4"/>
    <w:rsid w:val="00B90792"/>
    <w:rsid w:val="00B916FF"/>
    <w:rsid w:val="00B93186"/>
    <w:rsid w:val="00BA3156"/>
    <w:rsid w:val="00BB489E"/>
    <w:rsid w:val="00BB5A3B"/>
    <w:rsid w:val="00BC7CCF"/>
    <w:rsid w:val="00BD62A8"/>
    <w:rsid w:val="00BE470B"/>
    <w:rsid w:val="00BE5874"/>
    <w:rsid w:val="00BE59D3"/>
    <w:rsid w:val="00BF4652"/>
    <w:rsid w:val="00C001F9"/>
    <w:rsid w:val="00C01CC4"/>
    <w:rsid w:val="00C3725D"/>
    <w:rsid w:val="00C41260"/>
    <w:rsid w:val="00C41447"/>
    <w:rsid w:val="00C57A91"/>
    <w:rsid w:val="00C61879"/>
    <w:rsid w:val="00C62A48"/>
    <w:rsid w:val="00C835E1"/>
    <w:rsid w:val="00C95B12"/>
    <w:rsid w:val="00CA2A89"/>
    <w:rsid w:val="00CC01C2"/>
    <w:rsid w:val="00CD2700"/>
    <w:rsid w:val="00CD4A20"/>
    <w:rsid w:val="00CE41C2"/>
    <w:rsid w:val="00CE51BF"/>
    <w:rsid w:val="00CE6AB5"/>
    <w:rsid w:val="00CF21F2"/>
    <w:rsid w:val="00D02712"/>
    <w:rsid w:val="00D046A7"/>
    <w:rsid w:val="00D05CD2"/>
    <w:rsid w:val="00D20E28"/>
    <w:rsid w:val="00D214D0"/>
    <w:rsid w:val="00D6546B"/>
    <w:rsid w:val="00D73DF9"/>
    <w:rsid w:val="00D9718C"/>
    <w:rsid w:val="00DA03A4"/>
    <w:rsid w:val="00DA761D"/>
    <w:rsid w:val="00DB178B"/>
    <w:rsid w:val="00DB2139"/>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2E13"/>
    <w:rsid w:val="00E459DF"/>
    <w:rsid w:val="00E56D5C"/>
    <w:rsid w:val="00E5740D"/>
    <w:rsid w:val="00E6257C"/>
    <w:rsid w:val="00E63C59"/>
    <w:rsid w:val="00E67391"/>
    <w:rsid w:val="00E67793"/>
    <w:rsid w:val="00E72D0A"/>
    <w:rsid w:val="00E80574"/>
    <w:rsid w:val="00E80590"/>
    <w:rsid w:val="00E8145A"/>
    <w:rsid w:val="00E81866"/>
    <w:rsid w:val="00E84D1F"/>
    <w:rsid w:val="00E91DA8"/>
    <w:rsid w:val="00EA6693"/>
    <w:rsid w:val="00EB0261"/>
    <w:rsid w:val="00EB4323"/>
    <w:rsid w:val="00EB7E5C"/>
    <w:rsid w:val="00EC272C"/>
    <w:rsid w:val="00EC3E95"/>
    <w:rsid w:val="00EE5146"/>
    <w:rsid w:val="00EF0B62"/>
    <w:rsid w:val="00F165E7"/>
    <w:rsid w:val="00F21C63"/>
    <w:rsid w:val="00F25662"/>
    <w:rsid w:val="00F25D0A"/>
    <w:rsid w:val="00F273C8"/>
    <w:rsid w:val="00F3508B"/>
    <w:rsid w:val="00F44E58"/>
    <w:rsid w:val="00F667EA"/>
    <w:rsid w:val="00F86AF7"/>
    <w:rsid w:val="00F93C94"/>
    <w:rsid w:val="00F9503E"/>
    <w:rsid w:val="00FA124A"/>
    <w:rsid w:val="00FB0272"/>
    <w:rsid w:val="00FB2BC3"/>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214CD"/>
  <w15:docId w15:val="{CDE6AB2C-C16A-472C-9878-A18B78C2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
    <w:basedOn w:val="DefaultParagraphFont"/>
    <w:uiPriority w:val="99"/>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uiPriority w:val="99"/>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
    <w:name w:val="Unresolved Mention"/>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FB2BC3"/>
    <w:rPr>
      <w:rFonts w:ascii="Times New Roman Bold" w:hAnsi="Times New Roman Bold" w:cs="Times New Roman Bold"/>
      <w:b/>
      <w:lang w:val="en-GB" w:eastAsia="en-US"/>
    </w:rPr>
  </w:style>
  <w:style w:type="character" w:customStyle="1" w:styleId="TabletextChar">
    <w:name w:val="Table_text Char"/>
    <w:basedOn w:val="DefaultParagraphFont"/>
    <w:link w:val="Tabletext"/>
    <w:rsid w:val="00FB2BC3"/>
    <w:rPr>
      <w:rFonts w:ascii="Times New Roman" w:hAnsi="Times New Roman"/>
      <w:lang w:val="en-GB" w:eastAsia="en-US"/>
    </w:rPr>
  </w:style>
  <w:style w:type="character" w:customStyle="1" w:styleId="TabletitleChar">
    <w:name w:val="Table_title Char"/>
    <w:basedOn w:val="DefaultParagraphFont"/>
    <w:link w:val="Tabletitle"/>
    <w:locked/>
    <w:rsid w:val="00FB2BC3"/>
    <w:rPr>
      <w:rFonts w:ascii="Times New Roman Bold" w:hAnsi="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AB34E-8CE3-4F71-AAD7-AB12A4855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1090</Words>
  <Characters>6377</Characters>
  <Application>Microsoft Office Word</Application>
  <DocSecurity>0</DocSecurity>
  <Lines>187</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Cramer, Joseph</dc:creator>
  <cp:keywords>CTPClassification=CTP_NT</cp:keywords>
  <cp:lastModifiedBy>rev1</cp:lastModifiedBy>
  <cp:revision>4</cp:revision>
  <dcterms:created xsi:type="dcterms:W3CDTF">2018-09-17T09:16:00Z</dcterms:created>
  <dcterms:modified xsi:type="dcterms:W3CDTF">2018-09-17T09:48:00Z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21c37e8d-9411-447f-bea2-554694dcf89c</vt:lpwstr>
  </property>
  <property fmtid="{D5CDD505-2E9C-101B-9397-08002B2CF9AE}" pid="4" name="CTP_TimeStamp">
    <vt:lpwstr>2018-09-17 09:48:34Z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