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4E696" w14:textId="77777777" w:rsidR="0052692E" w:rsidRPr="00B05C96" w:rsidRDefault="0052692E" w:rsidP="0052692E">
      <w:pPr>
        <w:spacing w:line="270" w:lineRule="exact"/>
        <w:jc w:val="center"/>
        <w:rPr>
          <w:b/>
          <w:w w:val="105"/>
          <w:sz w:val="24"/>
        </w:rPr>
      </w:pPr>
      <w:r w:rsidRPr="00B05C96">
        <w:rPr>
          <w:b/>
          <w:w w:val="105"/>
          <w:sz w:val="24"/>
        </w:rPr>
        <w:t>Before the</w:t>
      </w:r>
    </w:p>
    <w:p w14:paraId="21CED692" w14:textId="2DCD8DC2" w:rsidR="0052692E" w:rsidRDefault="0052692E" w:rsidP="0052692E">
      <w:pPr>
        <w:spacing w:line="270" w:lineRule="exact"/>
        <w:jc w:val="center"/>
        <w:rPr>
          <w:b/>
          <w:w w:val="105"/>
          <w:sz w:val="24"/>
        </w:rPr>
      </w:pPr>
      <w:r>
        <w:rPr>
          <w:b/>
          <w:w w:val="105"/>
          <w:sz w:val="24"/>
        </w:rPr>
        <w:t xml:space="preserve">Federal Communications Commission </w:t>
      </w:r>
    </w:p>
    <w:p w14:paraId="170A5CDC" w14:textId="77777777" w:rsidR="0052692E" w:rsidRPr="00B05C96" w:rsidRDefault="0052692E" w:rsidP="0052692E">
      <w:pPr>
        <w:spacing w:line="270" w:lineRule="exact"/>
        <w:jc w:val="center"/>
        <w:rPr>
          <w:b/>
          <w:w w:val="105"/>
          <w:sz w:val="24"/>
        </w:rPr>
      </w:pPr>
      <w:r w:rsidRPr="00B05C96">
        <w:rPr>
          <w:b/>
          <w:w w:val="105"/>
          <w:sz w:val="24"/>
        </w:rPr>
        <w:t>Washington, DC 20554</w:t>
      </w:r>
    </w:p>
    <w:p w14:paraId="039911C8" w14:textId="77777777" w:rsidR="0052692E" w:rsidRPr="00B05C96" w:rsidRDefault="0052692E" w:rsidP="0052692E">
      <w:pPr>
        <w:spacing w:before="90" w:line="270" w:lineRule="exact"/>
        <w:ind w:left="2496" w:right="2494"/>
        <w:jc w:val="center"/>
        <w:rPr>
          <w:b/>
          <w:w w:val="105"/>
          <w:sz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6"/>
        <w:gridCol w:w="384"/>
        <w:gridCol w:w="4585"/>
      </w:tblGrid>
      <w:tr w:rsidR="0052692E" w14:paraId="24F5CA86" w14:textId="77777777" w:rsidTr="00162A88">
        <w:tc>
          <w:tcPr>
            <w:tcW w:w="4386" w:type="dxa"/>
          </w:tcPr>
          <w:p w14:paraId="224BDF6E" w14:textId="77777777" w:rsidR="0052692E" w:rsidRPr="00B05C96" w:rsidRDefault="0052692E" w:rsidP="00162A88">
            <w:pPr>
              <w:spacing w:before="90" w:line="270" w:lineRule="exact"/>
              <w:ind w:right="720"/>
              <w:rPr>
                <w:bCs/>
                <w:w w:val="105"/>
                <w:sz w:val="24"/>
              </w:rPr>
            </w:pPr>
            <w:r w:rsidRPr="00B05C96">
              <w:rPr>
                <w:bCs/>
                <w:w w:val="105"/>
                <w:sz w:val="24"/>
              </w:rPr>
              <w:t>In the Matter of:</w:t>
            </w:r>
          </w:p>
          <w:p w14:paraId="53C73429" w14:textId="77777777" w:rsidR="0052692E" w:rsidRPr="00B05C96" w:rsidRDefault="0052692E" w:rsidP="00162A88">
            <w:pPr>
              <w:spacing w:before="90" w:line="270" w:lineRule="exact"/>
              <w:ind w:right="720"/>
              <w:rPr>
                <w:bCs/>
                <w:w w:val="105"/>
                <w:sz w:val="24"/>
              </w:rPr>
            </w:pPr>
          </w:p>
          <w:p w14:paraId="1C28E163" w14:textId="5D302C2E" w:rsidR="0052692E" w:rsidRPr="00B05C96" w:rsidRDefault="0052692E" w:rsidP="00162A88">
            <w:pPr>
              <w:spacing w:before="90" w:line="270" w:lineRule="exact"/>
              <w:rPr>
                <w:bCs/>
                <w:w w:val="105"/>
                <w:sz w:val="24"/>
              </w:rPr>
            </w:pPr>
            <w:r>
              <w:rPr>
                <w:bCs/>
                <w:w w:val="105"/>
                <w:sz w:val="24"/>
              </w:rPr>
              <w:t>Boulder Regional Emergency Telephone Service Authority Petitions</w:t>
            </w:r>
          </w:p>
          <w:p w14:paraId="675B5A4B" w14:textId="77777777" w:rsidR="0052692E" w:rsidRDefault="0052692E" w:rsidP="00162A88">
            <w:pPr>
              <w:spacing w:before="90" w:line="270" w:lineRule="exact"/>
              <w:ind w:right="2494"/>
              <w:jc w:val="center"/>
              <w:rPr>
                <w:b/>
                <w:w w:val="105"/>
                <w:sz w:val="24"/>
              </w:rPr>
            </w:pPr>
          </w:p>
        </w:tc>
        <w:tc>
          <w:tcPr>
            <w:tcW w:w="384" w:type="dxa"/>
          </w:tcPr>
          <w:p w14:paraId="36A3EC74"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49B2E59F"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6F1FE98A"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364F38BD"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184069D4"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7A28A235"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03E3D44D" w14:textId="77777777" w:rsidR="0052692E" w:rsidRPr="00B05C96" w:rsidRDefault="0052692E" w:rsidP="00162A88">
            <w:pPr>
              <w:spacing w:before="90" w:line="270" w:lineRule="exact"/>
              <w:ind w:right="2494"/>
              <w:jc w:val="center"/>
              <w:rPr>
                <w:bCs/>
                <w:w w:val="105"/>
                <w:sz w:val="24"/>
              </w:rPr>
            </w:pPr>
            <w:r w:rsidRPr="00B05C96">
              <w:rPr>
                <w:bCs/>
                <w:w w:val="105"/>
                <w:sz w:val="24"/>
              </w:rPr>
              <w:t>)</w:t>
            </w:r>
          </w:p>
          <w:p w14:paraId="565449FD" w14:textId="77777777" w:rsidR="0052692E" w:rsidRPr="00B05C96" w:rsidRDefault="0052692E" w:rsidP="00162A88">
            <w:pPr>
              <w:spacing w:before="90" w:line="270" w:lineRule="exact"/>
              <w:ind w:right="2494"/>
              <w:jc w:val="center"/>
              <w:rPr>
                <w:bCs/>
                <w:w w:val="105"/>
                <w:sz w:val="24"/>
              </w:rPr>
            </w:pPr>
            <w:r w:rsidRPr="00B05C96">
              <w:rPr>
                <w:bCs/>
                <w:w w:val="105"/>
                <w:sz w:val="24"/>
              </w:rPr>
              <w:t>)</w:t>
            </w:r>
          </w:p>
        </w:tc>
        <w:tc>
          <w:tcPr>
            <w:tcW w:w="4585" w:type="dxa"/>
          </w:tcPr>
          <w:p w14:paraId="7AA75BB4" w14:textId="77777777" w:rsidR="0052692E" w:rsidRDefault="0052692E" w:rsidP="00162A88">
            <w:pPr>
              <w:spacing w:before="90" w:line="270" w:lineRule="exact"/>
              <w:ind w:right="2494"/>
              <w:jc w:val="center"/>
              <w:rPr>
                <w:b/>
                <w:w w:val="105"/>
                <w:sz w:val="24"/>
              </w:rPr>
            </w:pPr>
          </w:p>
          <w:p w14:paraId="0175FEB5" w14:textId="77777777" w:rsidR="0052692E" w:rsidRDefault="0052692E" w:rsidP="00162A88">
            <w:pPr>
              <w:spacing w:before="90" w:line="270" w:lineRule="exact"/>
              <w:ind w:right="2494"/>
              <w:rPr>
                <w:b/>
                <w:w w:val="105"/>
                <w:sz w:val="24"/>
              </w:rPr>
            </w:pPr>
          </w:p>
          <w:p w14:paraId="26B9120A" w14:textId="084167DC" w:rsidR="0052692E" w:rsidRPr="00B05C96" w:rsidRDefault="0052692E" w:rsidP="00162A88">
            <w:pPr>
              <w:spacing w:before="90" w:line="270" w:lineRule="exact"/>
              <w:ind w:left="720"/>
              <w:rPr>
                <w:bCs/>
                <w:w w:val="105"/>
                <w:sz w:val="24"/>
              </w:rPr>
            </w:pPr>
            <w:r w:rsidRPr="0052692E">
              <w:rPr>
                <w:bCs/>
                <w:w w:val="105"/>
                <w:sz w:val="24"/>
              </w:rPr>
              <w:t>PS Docket 19-254</w:t>
            </w:r>
          </w:p>
        </w:tc>
      </w:tr>
    </w:tbl>
    <w:p w14:paraId="04674133" w14:textId="77777777" w:rsidR="0052692E" w:rsidRPr="00117298" w:rsidRDefault="0052692E" w:rsidP="0052692E">
      <w:pPr>
        <w:spacing w:before="240" w:line="270" w:lineRule="exact"/>
        <w:ind w:left="720" w:right="720"/>
        <w:jc w:val="center"/>
        <w:rPr>
          <w:b/>
          <w:sz w:val="24"/>
          <w:szCs w:val="24"/>
        </w:rPr>
      </w:pPr>
      <w:r w:rsidRPr="00117298">
        <w:rPr>
          <w:b/>
          <w:w w:val="105"/>
          <w:sz w:val="24"/>
          <w:szCs w:val="24"/>
        </w:rPr>
        <w:t>COMMENTS OF</w:t>
      </w:r>
    </w:p>
    <w:p w14:paraId="083CFA70" w14:textId="7D3E0D1F" w:rsidR="0052692E" w:rsidRPr="00B05C96" w:rsidRDefault="00117298" w:rsidP="0052692E">
      <w:pPr>
        <w:spacing w:line="270" w:lineRule="exact"/>
        <w:jc w:val="center"/>
        <w:rPr>
          <w:b/>
          <w:sz w:val="24"/>
          <w:szCs w:val="24"/>
        </w:rPr>
      </w:pPr>
      <w:r w:rsidRPr="00117298">
        <w:rPr>
          <w:b/>
          <w:w w:val="105"/>
          <w:sz w:val="24"/>
          <w:szCs w:val="24"/>
        </w:rPr>
        <w:t>Ryan Poltermann</w:t>
      </w:r>
    </w:p>
    <w:p w14:paraId="5629AC44" w14:textId="77777777" w:rsidR="00F74E6B" w:rsidRDefault="00F74E6B" w:rsidP="00F74E6B">
      <w:pPr>
        <w:rPr>
          <w:rFonts w:eastAsia="Times New Roman"/>
        </w:rPr>
      </w:pPr>
    </w:p>
    <w:p w14:paraId="53D53A7E" w14:textId="1A76792E" w:rsidR="00A05AED" w:rsidRDefault="00F74E6B" w:rsidP="00F74E6B">
      <w:pPr>
        <w:rPr>
          <w:rFonts w:eastAsia="Times New Roman"/>
        </w:rPr>
      </w:pPr>
      <w:r>
        <w:rPr>
          <w:rFonts w:eastAsia="Times New Roman"/>
        </w:rPr>
        <w:t xml:space="preserve">The public safety community and those who support it are concerned and becoming frustrated with the lack of transparency that FirstNet evolves in, along with the lack of information available with respect to LMR-LTE </w:t>
      </w:r>
      <w:r w:rsidR="00B2471D">
        <w:rPr>
          <w:rFonts w:eastAsia="Times New Roman"/>
        </w:rPr>
        <w:t>interworking</w:t>
      </w:r>
      <w:r>
        <w:rPr>
          <w:rFonts w:eastAsia="Times New Roman"/>
        </w:rPr>
        <w:t>. As examples, we are unaware of the 3GPP release</w:t>
      </w:r>
      <w:r w:rsidR="00A05AED">
        <w:rPr>
          <w:rFonts w:eastAsia="Times New Roman"/>
        </w:rPr>
        <w:t xml:space="preserve"> adopted </w:t>
      </w:r>
      <w:r>
        <w:rPr>
          <w:rFonts w:eastAsia="Times New Roman"/>
        </w:rPr>
        <w:t xml:space="preserve">for the core infrastructure, how MCPTT will be deployed (i.e. technical roadmap), and what policy restrictions will be in place for those with LMR systems to connect to FirstNet. At its most extreme, it is not possible for FirstNet to tell public safety agencies what the second MCPTT vendor will be. While a document published by FirstNet is </w:t>
      </w:r>
      <w:r w:rsidR="00A05AED">
        <w:rPr>
          <w:rFonts w:eastAsia="Times New Roman"/>
        </w:rPr>
        <w:t xml:space="preserve">advertised </w:t>
      </w:r>
      <w:r>
        <w:rPr>
          <w:rFonts w:eastAsia="Times New Roman"/>
        </w:rPr>
        <w:t>as a roadmap, it does</w:t>
      </w:r>
      <w:r w:rsidR="00A05AED">
        <w:rPr>
          <w:rFonts w:eastAsia="Times New Roman"/>
        </w:rPr>
        <w:t xml:space="preserve"> no</w:t>
      </w:r>
      <w:r>
        <w:rPr>
          <w:rFonts w:eastAsia="Times New Roman"/>
        </w:rPr>
        <w:t>t provide traditional roadmap information as to deployment timelines, feature availability, site hardening, operational status of cell sites serving the public safety agencies, and rollout of Band Class 14 to areas that aren’t currently served. These all represent critical information that is not available and are necessary for public safety trust.</w:t>
      </w:r>
      <w:r>
        <w:rPr>
          <w:rFonts w:eastAsia="Times New Roman"/>
        </w:rPr>
        <w:br/>
      </w:r>
      <w:r>
        <w:rPr>
          <w:rFonts w:eastAsia="Times New Roman"/>
        </w:rPr>
        <w:br/>
        <w:t>Interoperability is a paramount concern, and the ability of LMR field users and consoles to communicate with MCPTT remain unanswered. Questions such as the differences in vocoder used (AMBE+2 versus AMR-WB), whether end-to-end encryption will be supported (AES-CFB 256 bit versus AES-GCM 128 bit), and will rekeying be supported (particularly with LMR consoles) are critical to public safety. LMR and LTE should be capable of using the same user </w:t>
      </w:r>
      <w:proofErr w:type="spellStart"/>
      <w:r>
        <w:rPr>
          <w:rFonts w:eastAsia="Times New Roman"/>
        </w:rPr>
        <w:t>talkgroup</w:t>
      </w:r>
      <w:proofErr w:type="spellEnd"/>
      <w:r>
        <w:rPr>
          <w:rFonts w:eastAsia="Times New Roman"/>
        </w:rPr>
        <w:t>, device IDs (Radio IDs and MCPTT IDs) should be shared across systems, and the location of each type of user should be available on both platforms for safety.</w:t>
      </w:r>
      <w:r>
        <w:rPr>
          <w:rFonts w:eastAsia="Times New Roman"/>
        </w:rPr>
        <w:br/>
      </w:r>
      <w:r>
        <w:rPr>
          <w:rFonts w:eastAsia="Times New Roman"/>
        </w:rPr>
        <w:br/>
        <w:t>While the responsibilities of other carriers is highlighted in the FCC document, we request that FirstNet’s obligations to interoperability be addressed. This reflects the reality that carriers such as Verizon have requested interoperability and that FirstNet has refused. Having multiple cellular carriers available to public safety is beneficial in normal operations and emergency situations</w:t>
      </w:r>
      <w:r w:rsidR="00A05AED">
        <w:rPr>
          <w:rFonts w:eastAsia="Times New Roman"/>
        </w:rPr>
        <w:t xml:space="preserve">: </w:t>
      </w:r>
      <w:r w:rsidR="002A0DE2">
        <w:rPr>
          <w:rFonts w:eastAsia="Times New Roman"/>
        </w:rPr>
        <w:t>m</w:t>
      </w:r>
      <w:r w:rsidRPr="00A05AED">
        <w:rPr>
          <w:rFonts w:eastAsia="Times New Roman"/>
        </w:rPr>
        <w:t>any agencies choose to spread their operation across multiple carriers to achieve their required level of redundancy and resiliency necessary to support their</w:t>
      </w:r>
      <w:r w:rsidR="00957415">
        <w:rPr>
          <w:rFonts w:eastAsia="Times New Roman"/>
        </w:rPr>
        <w:t xml:space="preserve"> life-saving</w:t>
      </w:r>
      <w:r w:rsidRPr="00A05AED">
        <w:rPr>
          <w:rFonts w:eastAsia="Times New Roman"/>
        </w:rPr>
        <w:t xml:space="preserve"> </w:t>
      </w:r>
      <w:r w:rsidR="002A0DE2">
        <w:rPr>
          <w:rFonts w:eastAsia="Times New Roman"/>
        </w:rPr>
        <w:t>missions</w:t>
      </w:r>
      <w:r w:rsidRPr="00A05AED">
        <w:rPr>
          <w:rFonts w:eastAsia="Times New Roman"/>
        </w:rPr>
        <w:t xml:space="preserve">. </w:t>
      </w:r>
      <w:r>
        <w:rPr>
          <w:rFonts w:eastAsia="Times New Roman"/>
        </w:rPr>
        <w:t>While AT&amp;T has made efforts to cover as much of the country as possible, public safety demands complete redundancy and thus access to multiple cellular networks. </w:t>
      </w:r>
      <w:r>
        <w:rPr>
          <w:rFonts w:eastAsia="Times New Roman"/>
        </w:rPr>
        <w:br/>
      </w:r>
      <w:r>
        <w:rPr>
          <w:rFonts w:eastAsia="Times New Roman"/>
        </w:rPr>
        <w:br/>
        <w:t xml:space="preserve">Interoperability across carriers is being promised by Over-The-Top (OTT) push-to-talk, and this is not </w:t>
      </w:r>
      <w:r>
        <w:rPr>
          <w:rFonts w:eastAsia="Times New Roman"/>
        </w:rPr>
        <w:lastRenderedPageBreak/>
        <w:t>directly mission-critical communications. Without native MCPTT cellular carrier interoperability, the risk in MCPTT failing to be adopted increases significantly. Exacerbating this issue is that an OTT solution may be MCPTT on an alternative carrier but may have App Priority on AT&amp;T, which provides not only a confusing picture for public safety agencies but demonstrates that MCPTT on FirstNet alone offers little value for the public safety agency. With OTT solutions, temporary interoperability can easily be established but is unclear how this will be accomplished with MCPTT. We request that FirstNet provide</w:t>
      </w:r>
      <w:r w:rsidR="00A05AED">
        <w:rPr>
          <w:rFonts w:eastAsia="Times New Roman"/>
        </w:rPr>
        <w:t xml:space="preserve"> additional</w:t>
      </w:r>
      <w:r>
        <w:rPr>
          <w:rFonts w:eastAsia="Times New Roman"/>
        </w:rPr>
        <w:t> information</w:t>
      </w:r>
      <w:r w:rsidR="00A05AED">
        <w:rPr>
          <w:rFonts w:eastAsia="Times New Roman"/>
        </w:rPr>
        <w:t xml:space="preserve"> beyond the issues already raised, such</w:t>
      </w:r>
      <w:r>
        <w:rPr>
          <w:rFonts w:eastAsia="Times New Roman"/>
        </w:rPr>
        <w:t xml:space="preserve"> as the following:</w:t>
      </w:r>
      <w:r>
        <w:rPr>
          <w:rFonts w:eastAsia="Times New Roman"/>
        </w:rPr>
        <w:br/>
      </w:r>
      <w:r>
        <w:rPr>
          <w:rFonts w:eastAsia="Times New Roman"/>
        </w:rPr>
        <w:br/>
        <w:t>• What interoperability steps FirstNet is taking with other carriers for MCPTT.</w:t>
      </w:r>
      <w:r>
        <w:rPr>
          <w:rFonts w:eastAsia="Times New Roman"/>
        </w:rPr>
        <w:br/>
        <w:t>• What performance differences there are between MCPTT and an OTT PTT solution with FirstNet App Priority.</w:t>
      </w:r>
      <w:r>
        <w:rPr>
          <w:rFonts w:eastAsia="Times New Roman"/>
        </w:rPr>
        <w:br/>
        <w:t>• What approaches will FirstNet take to avoid damaging MCPTT through proprietary OTT PTT solutions.</w:t>
      </w:r>
      <w:r>
        <w:rPr>
          <w:rFonts w:eastAsia="Times New Roman"/>
        </w:rPr>
        <w:br/>
        <w:t>• What capabilities are in place for MCPTT temporary interoperability.</w:t>
      </w:r>
      <w:r>
        <w:rPr>
          <w:rFonts w:eastAsia="Times New Roman"/>
        </w:rPr>
        <w:br/>
        <w:t>• What interoperability there will be between the two FirstNet MCPTT vendors.</w:t>
      </w:r>
      <w:r>
        <w:rPr>
          <w:rFonts w:eastAsia="Times New Roman"/>
        </w:rPr>
        <w:br/>
        <w:t xml:space="preserve">• Will end-to-end encryption be available between LMR and MCPTT. </w:t>
      </w:r>
    </w:p>
    <w:p w14:paraId="6E1DE635" w14:textId="7BE85D14" w:rsidR="00F74E6B" w:rsidRDefault="00A05AED" w:rsidP="00F74E6B">
      <w:pPr>
        <w:rPr>
          <w:rFonts w:eastAsia="Times New Roman"/>
        </w:rPr>
      </w:pPr>
      <w:r>
        <w:rPr>
          <w:rFonts w:eastAsia="Times New Roman"/>
        </w:rPr>
        <w:t xml:space="preserve">• </w:t>
      </w:r>
      <w:r w:rsidR="00F74E6B">
        <w:rPr>
          <w:rFonts w:eastAsia="Times New Roman"/>
        </w:rPr>
        <w:t>Will that solution provide end-to-end encryption when public safety works across multiple carriers.</w:t>
      </w:r>
      <w:r w:rsidR="00F74E6B">
        <w:rPr>
          <w:rFonts w:eastAsia="Times New Roman"/>
        </w:rPr>
        <w:br/>
        <w:t>• What rekeying capabilities will be supported between LMR and MCPTT.</w:t>
      </w:r>
      <w:r w:rsidR="00F74E6B">
        <w:rPr>
          <w:rFonts w:eastAsia="Times New Roman"/>
        </w:rPr>
        <w:br/>
        <w:t>• What policy restrictions will FirstNet impose in order to connect an LMR system and/or dispatch consoles to FirstNet.</w:t>
      </w:r>
      <w:r w:rsidR="00F74E6B">
        <w:rPr>
          <w:rFonts w:eastAsia="Times New Roman"/>
        </w:rPr>
        <w:br/>
      </w:r>
      <w:r w:rsidR="00F74E6B">
        <w:rPr>
          <w:rFonts w:eastAsia="Times New Roman"/>
        </w:rPr>
        <w:br/>
        <w:t>While issues may be directed to the FirstNet Authority, we respectfully request that formal processes with transparency to all public safety agencies be created to ensure the needs of public safety along with inquiries for information are met. By allowing all public safety agencies to see the issues faced, they may join their voice to other public safety agencies who are facing the same issue. This also provides an opportunity for collaboration and sharing of knowledge between agencies and FirstNet.</w:t>
      </w:r>
    </w:p>
    <w:p w14:paraId="2DA275E1" w14:textId="76184363" w:rsidR="006716EF" w:rsidRDefault="00117298">
      <w:pPr>
        <w:rPr>
          <w:rFonts w:eastAsia="Times New Roman"/>
        </w:rPr>
      </w:pPr>
    </w:p>
    <w:p w14:paraId="1BDE1F15" w14:textId="2936D48E" w:rsidR="00D51E06" w:rsidRDefault="00D51E06">
      <w:r>
        <w:t>Submitted Respectfully,</w:t>
      </w:r>
    </w:p>
    <w:p w14:paraId="3785074E" w14:textId="05760C43" w:rsidR="00D51E06" w:rsidRDefault="00D51E06"/>
    <w:p w14:paraId="39A4855A" w14:textId="6ED0EDA5" w:rsidR="00D51E06" w:rsidRDefault="00117298">
      <w:r>
        <w:t>Ryan Poltermann</w:t>
      </w:r>
      <w:bookmarkStart w:id="0" w:name="_GoBack"/>
      <w:bookmarkEnd w:id="0"/>
    </w:p>
    <w:sectPr w:rsidR="00D51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6B"/>
    <w:rsid w:val="00117298"/>
    <w:rsid w:val="00186F26"/>
    <w:rsid w:val="002206CA"/>
    <w:rsid w:val="002A0DE2"/>
    <w:rsid w:val="0052692E"/>
    <w:rsid w:val="00957415"/>
    <w:rsid w:val="00A05AED"/>
    <w:rsid w:val="00B2471D"/>
    <w:rsid w:val="00C36255"/>
    <w:rsid w:val="00D2152F"/>
    <w:rsid w:val="00D51E06"/>
    <w:rsid w:val="00F74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B83261"/>
  <w15:chartTrackingRefBased/>
  <w15:docId w15:val="{59C02E27-0B8A-4AF1-81A7-0DD187975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E6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4E6B"/>
    <w:rPr>
      <w:sz w:val="16"/>
      <w:szCs w:val="16"/>
    </w:rPr>
  </w:style>
  <w:style w:type="paragraph" w:styleId="CommentText">
    <w:name w:val="annotation text"/>
    <w:basedOn w:val="Normal"/>
    <w:link w:val="CommentTextChar"/>
    <w:uiPriority w:val="99"/>
    <w:semiHidden/>
    <w:unhideWhenUsed/>
    <w:rsid w:val="00F74E6B"/>
    <w:rPr>
      <w:sz w:val="20"/>
      <w:szCs w:val="20"/>
    </w:rPr>
  </w:style>
  <w:style w:type="character" w:customStyle="1" w:styleId="CommentTextChar">
    <w:name w:val="Comment Text Char"/>
    <w:basedOn w:val="DefaultParagraphFont"/>
    <w:link w:val="CommentText"/>
    <w:uiPriority w:val="99"/>
    <w:semiHidden/>
    <w:rsid w:val="00F74E6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74E6B"/>
    <w:rPr>
      <w:b/>
      <w:bCs/>
    </w:rPr>
  </w:style>
  <w:style w:type="character" w:customStyle="1" w:styleId="CommentSubjectChar">
    <w:name w:val="Comment Subject Char"/>
    <w:basedOn w:val="CommentTextChar"/>
    <w:link w:val="CommentSubject"/>
    <w:uiPriority w:val="99"/>
    <w:semiHidden/>
    <w:rsid w:val="00F74E6B"/>
    <w:rPr>
      <w:rFonts w:ascii="Calibri" w:hAnsi="Calibri" w:cs="Calibri"/>
      <w:b/>
      <w:bCs/>
      <w:sz w:val="20"/>
      <w:szCs w:val="20"/>
    </w:rPr>
  </w:style>
  <w:style w:type="paragraph" w:styleId="BalloonText">
    <w:name w:val="Balloon Text"/>
    <w:basedOn w:val="Normal"/>
    <w:link w:val="BalloonTextChar"/>
    <w:uiPriority w:val="99"/>
    <w:semiHidden/>
    <w:unhideWhenUsed/>
    <w:rsid w:val="00F74E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E6B"/>
    <w:rPr>
      <w:rFonts w:ascii="Segoe UI" w:hAnsi="Segoe UI" w:cs="Segoe UI"/>
      <w:sz w:val="18"/>
      <w:szCs w:val="18"/>
    </w:rPr>
  </w:style>
  <w:style w:type="table" w:styleId="TableGrid">
    <w:name w:val="Table Grid"/>
    <w:basedOn w:val="TableNormal"/>
    <w:uiPriority w:val="39"/>
    <w:rsid w:val="00526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Kindelspire</dc:creator>
  <cp:keywords/>
  <dc:description/>
  <cp:lastModifiedBy>Ryan Poltermann</cp:lastModifiedBy>
  <cp:revision>3</cp:revision>
  <dcterms:created xsi:type="dcterms:W3CDTF">2019-09-23T16:18:00Z</dcterms:created>
  <dcterms:modified xsi:type="dcterms:W3CDTF">2019-09-23T16:20:00Z</dcterms:modified>
</cp:coreProperties>
</file>