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0CE" w:rsidRDefault="009870CE" w:rsidP="009870CE">
      <w:pPr>
        <w:spacing w:line="270" w:lineRule="exact"/>
        <w:jc w:val="center"/>
        <w:rPr>
          <w:b/>
          <w:w w:val="105"/>
          <w:szCs w:val="22"/>
        </w:rPr>
      </w:pPr>
      <w:bookmarkStart w:id="0" w:name="_GoBack"/>
      <w:bookmarkEnd w:id="0"/>
      <w:r>
        <w:rPr>
          <w:b/>
          <w:w w:val="105"/>
        </w:rPr>
        <w:t>Before the</w:t>
      </w:r>
    </w:p>
    <w:p w:rsidR="009870CE" w:rsidRDefault="009870CE" w:rsidP="009870CE">
      <w:pPr>
        <w:spacing w:line="270" w:lineRule="exact"/>
        <w:jc w:val="center"/>
        <w:rPr>
          <w:b/>
          <w:w w:val="105"/>
        </w:rPr>
      </w:pPr>
      <w:r>
        <w:rPr>
          <w:b/>
          <w:w w:val="105"/>
        </w:rPr>
        <w:t xml:space="preserve">Federal Communications Commission </w:t>
      </w:r>
    </w:p>
    <w:p w:rsidR="009870CE" w:rsidRDefault="009870CE" w:rsidP="009870CE">
      <w:pPr>
        <w:spacing w:line="270" w:lineRule="exact"/>
        <w:jc w:val="center"/>
        <w:rPr>
          <w:b/>
          <w:w w:val="105"/>
        </w:rPr>
      </w:pPr>
      <w:r>
        <w:rPr>
          <w:b/>
          <w:w w:val="105"/>
        </w:rPr>
        <w:t>Washington, DC 20554</w:t>
      </w:r>
    </w:p>
    <w:p w:rsidR="009870CE" w:rsidRDefault="009870CE" w:rsidP="009870CE">
      <w:pPr>
        <w:spacing w:before="90" w:line="270" w:lineRule="exact"/>
        <w:ind w:left="2496" w:right="2494"/>
        <w:jc w:val="center"/>
        <w:rPr>
          <w:b/>
          <w:w w:val="105"/>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86"/>
        <w:gridCol w:w="384"/>
        <w:gridCol w:w="4585"/>
      </w:tblGrid>
      <w:tr w:rsidR="009870CE" w:rsidTr="00BA180F">
        <w:tc>
          <w:tcPr>
            <w:tcW w:w="4386" w:type="dxa"/>
          </w:tcPr>
          <w:p w:rsidR="009870CE" w:rsidRDefault="009870CE" w:rsidP="00BA180F">
            <w:pPr>
              <w:spacing w:before="90" w:line="270" w:lineRule="exact"/>
              <w:ind w:right="720"/>
              <w:rPr>
                <w:bCs/>
                <w:w w:val="105"/>
              </w:rPr>
            </w:pPr>
            <w:r>
              <w:rPr>
                <w:bCs/>
                <w:w w:val="105"/>
              </w:rPr>
              <w:t>In the Matter of:</w:t>
            </w:r>
          </w:p>
          <w:p w:rsidR="009870CE" w:rsidRDefault="009870CE" w:rsidP="00BA180F">
            <w:pPr>
              <w:spacing w:before="90" w:line="270" w:lineRule="exact"/>
              <w:ind w:right="720"/>
              <w:rPr>
                <w:bCs/>
                <w:w w:val="105"/>
              </w:rPr>
            </w:pPr>
          </w:p>
          <w:p w:rsidR="009870CE" w:rsidRDefault="009870CE" w:rsidP="00BA180F">
            <w:pPr>
              <w:spacing w:before="90" w:line="270" w:lineRule="exact"/>
              <w:rPr>
                <w:bCs/>
                <w:w w:val="105"/>
              </w:rPr>
            </w:pPr>
            <w:r>
              <w:rPr>
                <w:bCs/>
                <w:w w:val="105"/>
              </w:rPr>
              <w:t>Public Notice Regarding the Boulder Regional Emergency Telephone Service Authority (BRETSA) Petitions</w:t>
            </w:r>
          </w:p>
          <w:p w:rsidR="009870CE" w:rsidRDefault="009870CE" w:rsidP="00BA180F">
            <w:pPr>
              <w:spacing w:before="90" w:line="270" w:lineRule="exact"/>
              <w:ind w:right="2494"/>
              <w:jc w:val="center"/>
              <w:rPr>
                <w:b/>
                <w:w w:val="105"/>
              </w:rPr>
            </w:pPr>
          </w:p>
        </w:tc>
        <w:tc>
          <w:tcPr>
            <w:tcW w:w="384" w:type="dxa"/>
            <w:hideMark/>
          </w:tcPr>
          <w:p w:rsidR="009870CE" w:rsidRDefault="009870CE" w:rsidP="00BA180F">
            <w:pPr>
              <w:spacing w:before="90" w:line="270" w:lineRule="exact"/>
              <w:ind w:right="2494"/>
              <w:jc w:val="center"/>
              <w:rPr>
                <w:bCs/>
                <w:w w:val="105"/>
              </w:rPr>
            </w:pPr>
            <w:r>
              <w:rPr>
                <w:bCs/>
                <w:w w:val="105"/>
              </w:rPr>
              <w:t>)</w:t>
            </w:r>
          </w:p>
          <w:p w:rsidR="009870CE" w:rsidRDefault="009870CE" w:rsidP="00BA180F">
            <w:pPr>
              <w:spacing w:before="90" w:line="270" w:lineRule="exact"/>
              <w:ind w:right="2494"/>
              <w:jc w:val="center"/>
              <w:rPr>
                <w:bCs/>
                <w:w w:val="105"/>
              </w:rPr>
            </w:pPr>
            <w:r>
              <w:rPr>
                <w:bCs/>
                <w:w w:val="105"/>
              </w:rPr>
              <w:t>)</w:t>
            </w:r>
          </w:p>
          <w:p w:rsidR="009870CE" w:rsidRDefault="009870CE" w:rsidP="00BA180F">
            <w:pPr>
              <w:spacing w:before="90" w:line="270" w:lineRule="exact"/>
              <w:ind w:right="2494"/>
              <w:jc w:val="center"/>
              <w:rPr>
                <w:bCs/>
                <w:w w:val="105"/>
              </w:rPr>
            </w:pPr>
            <w:r>
              <w:rPr>
                <w:bCs/>
                <w:w w:val="105"/>
              </w:rPr>
              <w:t>)</w:t>
            </w:r>
          </w:p>
          <w:p w:rsidR="009870CE" w:rsidRDefault="009870CE" w:rsidP="00BA180F">
            <w:pPr>
              <w:spacing w:before="90" w:line="270" w:lineRule="exact"/>
              <w:ind w:right="2494"/>
              <w:jc w:val="center"/>
              <w:rPr>
                <w:bCs/>
                <w:w w:val="105"/>
              </w:rPr>
            </w:pPr>
            <w:r>
              <w:rPr>
                <w:bCs/>
                <w:w w:val="105"/>
              </w:rPr>
              <w:t>)</w:t>
            </w:r>
          </w:p>
          <w:p w:rsidR="009870CE" w:rsidRDefault="009870CE" w:rsidP="00BA180F">
            <w:pPr>
              <w:spacing w:before="90" w:line="270" w:lineRule="exact"/>
              <w:ind w:right="2494"/>
              <w:jc w:val="center"/>
              <w:rPr>
                <w:bCs/>
                <w:w w:val="105"/>
              </w:rPr>
            </w:pPr>
            <w:r>
              <w:rPr>
                <w:bCs/>
                <w:w w:val="105"/>
              </w:rPr>
              <w:t>)</w:t>
            </w:r>
          </w:p>
          <w:p w:rsidR="009870CE" w:rsidRDefault="009870CE" w:rsidP="00BA180F">
            <w:pPr>
              <w:spacing w:before="90" w:line="270" w:lineRule="exact"/>
              <w:ind w:right="2494"/>
              <w:jc w:val="center"/>
              <w:rPr>
                <w:bCs/>
                <w:w w:val="105"/>
              </w:rPr>
            </w:pPr>
            <w:r>
              <w:rPr>
                <w:bCs/>
                <w:w w:val="105"/>
              </w:rPr>
              <w:t>)</w:t>
            </w:r>
          </w:p>
          <w:p w:rsidR="009870CE" w:rsidRDefault="009870CE" w:rsidP="00BA180F">
            <w:pPr>
              <w:spacing w:before="90" w:line="270" w:lineRule="exact"/>
              <w:ind w:right="2494"/>
              <w:jc w:val="center"/>
              <w:rPr>
                <w:bCs/>
                <w:w w:val="105"/>
              </w:rPr>
            </w:pPr>
            <w:r>
              <w:rPr>
                <w:bCs/>
                <w:w w:val="105"/>
              </w:rPr>
              <w:t>)</w:t>
            </w:r>
          </w:p>
          <w:p w:rsidR="009870CE" w:rsidRDefault="009870CE" w:rsidP="00BA180F">
            <w:pPr>
              <w:spacing w:before="90" w:line="270" w:lineRule="exact"/>
              <w:ind w:right="2494"/>
              <w:jc w:val="center"/>
              <w:rPr>
                <w:bCs/>
                <w:w w:val="105"/>
              </w:rPr>
            </w:pPr>
            <w:r>
              <w:rPr>
                <w:bCs/>
                <w:w w:val="105"/>
              </w:rPr>
              <w:t>)</w:t>
            </w:r>
          </w:p>
        </w:tc>
        <w:tc>
          <w:tcPr>
            <w:tcW w:w="4585" w:type="dxa"/>
          </w:tcPr>
          <w:p w:rsidR="009870CE" w:rsidRDefault="009870CE" w:rsidP="00BA180F">
            <w:pPr>
              <w:spacing w:before="90" w:line="270" w:lineRule="exact"/>
              <w:ind w:right="2494"/>
              <w:jc w:val="center"/>
              <w:rPr>
                <w:b/>
                <w:w w:val="105"/>
              </w:rPr>
            </w:pPr>
          </w:p>
          <w:p w:rsidR="009870CE" w:rsidRDefault="009870CE" w:rsidP="00BA180F">
            <w:pPr>
              <w:spacing w:before="90" w:line="270" w:lineRule="exact"/>
              <w:ind w:right="2494"/>
              <w:rPr>
                <w:b/>
                <w:w w:val="105"/>
              </w:rPr>
            </w:pPr>
          </w:p>
          <w:p w:rsidR="009870CE" w:rsidRDefault="009870CE" w:rsidP="00BA180F">
            <w:pPr>
              <w:spacing w:before="90" w:line="270" w:lineRule="exact"/>
              <w:ind w:left="720"/>
              <w:rPr>
                <w:bCs/>
                <w:w w:val="105"/>
              </w:rPr>
            </w:pPr>
            <w:r>
              <w:rPr>
                <w:bCs/>
                <w:w w:val="105"/>
              </w:rPr>
              <w:t>PS Docket 19-254</w:t>
            </w:r>
          </w:p>
        </w:tc>
      </w:tr>
    </w:tbl>
    <w:p w:rsidR="009870CE" w:rsidRDefault="009870CE" w:rsidP="009870CE">
      <w:pPr>
        <w:spacing w:before="120"/>
        <w:ind w:left="720" w:right="720"/>
        <w:jc w:val="center"/>
        <w:rPr>
          <w:b/>
          <w:w w:val="105"/>
        </w:rPr>
      </w:pPr>
      <w:r>
        <w:rPr>
          <w:b/>
          <w:w w:val="105"/>
        </w:rPr>
        <w:t>COMMENTS OF</w:t>
      </w:r>
    </w:p>
    <w:p w:rsidR="009870CE" w:rsidRDefault="009870CE" w:rsidP="009870CE">
      <w:pPr>
        <w:spacing w:before="120"/>
        <w:ind w:left="720" w:right="720"/>
        <w:jc w:val="center"/>
        <w:rPr>
          <w:rFonts w:ascii="Calibri" w:hAnsi="Calibri" w:cs="Calibri"/>
          <w:b/>
        </w:rPr>
      </w:pPr>
      <w:r w:rsidRPr="004C494C">
        <w:rPr>
          <w:rFonts w:ascii="Calibri" w:hAnsi="Calibri" w:cs="Calibri"/>
          <w:b/>
        </w:rPr>
        <w:t>Minnesota Department of Public Safety</w:t>
      </w:r>
    </w:p>
    <w:p w:rsidR="009870CE" w:rsidRDefault="009870CE" w:rsidP="009870CE">
      <w:pPr>
        <w:spacing w:before="120"/>
        <w:ind w:left="720" w:right="720"/>
        <w:jc w:val="center"/>
        <w:rPr>
          <w:rFonts w:ascii="Calibri" w:hAnsi="Calibri" w:cs="Calibri"/>
          <w:b/>
        </w:rPr>
      </w:pPr>
      <w:r w:rsidRPr="004C494C">
        <w:rPr>
          <w:rFonts w:ascii="Calibri" w:hAnsi="Calibri" w:cs="Calibri"/>
          <w:b/>
        </w:rPr>
        <w:t>Emergency Communication Networks</w:t>
      </w:r>
    </w:p>
    <w:p w:rsidR="009870CE" w:rsidRDefault="009870CE" w:rsidP="009870CE">
      <w:pPr>
        <w:spacing w:before="120"/>
        <w:ind w:left="720" w:right="720"/>
        <w:jc w:val="center"/>
        <w:rPr>
          <w:rFonts w:ascii="Calibri" w:hAnsi="Calibri" w:cs="Calibri"/>
          <w:b/>
        </w:rPr>
      </w:pPr>
    </w:p>
    <w:p w:rsidR="009870CE" w:rsidRPr="001848E6" w:rsidRDefault="009870CE" w:rsidP="009870CE">
      <w:pPr>
        <w:pStyle w:val="ListParagraph"/>
        <w:numPr>
          <w:ilvl w:val="0"/>
          <w:numId w:val="1"/>
        </w:numPr>
        <w:spacing w:before="120" w:after="240"/>
        <w:ind w:left="360" w:right="720"/>
        <w:rPr>
          <w:rFonts w:ascii="Open Sans" w:hAnsi="Open Sans" w:cs="Open Sans"/>
          <w:b/>
        </w:rPr>
      </w:pPr>
      <w:r w:rsidRPr="001848E6">
        <w:rPr>
          <w:rFonts w:ascii="Open Sans" w:hAnsi="Open Sans" w:cs="Open Sans"/>
          <w:b/>
        </w:rPr>
        <w:t>INTRODUCTION</w:t>
      </w:r>
    </w:p>
    <w:p w:rsidR="009870CE" w:rsidRDefault="009870CE" w:rsidP="009870CE">
      <w:pPr>
        <w:spacing w:before="120" w:line="480" w:lineRule="auto"/>
        <w:ind w:right="720" w:firstLine="360"/>
        <w:rPr>
          <w:rFonts w:ascii="Open Sans" w:hAnsi="Open Sans" w:cs="Open Sans"/>
          <w:sz w:val="22"/>
          <w:szCs w:val="22"/>
        </w:rPr>
      </w:pPr>
      <w:r w:rsidRPr="001848E6">
        <w:rPr>
          <w:rFonts w:ascii="Open Sans" w:hAnsi="Open Sans" w:cs="Open Sans"/>
          <w:sz w:val="22"/>
          <w:szCs w:val="22"/>
        </w:rPr>
        <w:t xml:space="preserve">The Emergency Communication Networks </w:t>
      </w:r>
      <w:r>
        <w:rPr>
          <w:rFonts w:ascii="Open Sans" w:hAnsi="Open Sans" w:cs="Open Sans"/>
          <w:sz w:val="22"/>
          <w:szCs w:val="22"/>
        </w:rPr>
        <w:t xml:space="preserve">(ECN) </w:t>
      </w:r>
      <w:r w:rsidRPr="001848E6">
        <w:rPr>
          <w:rFonts w:ascii="Open Sans" w:hAnsi="Open Sans" w:cs="Open Sans"/>
          <w:sz w:val="22"/>
          <w:szCs w:val="22"/>
        </w:rPr>
        <w:t xml:space="preserve">Division </w:t>
      </w:r>
      <w:r>
        <w:rPr>
          <w:rFonts w:ascii="Open Sans" w:hAnsi="Open Sans" w:cs="Open Sans"/>
          <w:sz w:val="22"/>
          <w:szCs w:val="22"/>
        </w:rPr>
        <w:t xml:space="preserve">of the Minnesota Department of Public Safety </w:t>
      </w:r>
      <w:r w:rsidRPr="001848E6">
        <w:rPr>
          <w:rFonts w:ascii="Open Sans" w:hAnsi="Open Sans" w:cs="Open Sans"/>
          <w:sz w:val="22"/>
          <w:szCs w:val="22"/>
        </w:rPr>
        <w:t xml:space="preserve">oversees the Statewide </w:t>
      </w:r>
      <w:r w:rsidR="00B33153">
        <w:rPr>
          <w:rFonts w:ascii="Open Sans" w:hAnsi="Open Sans" w:cs="Open Sans"/>
          <w:sz w:val="22"/>
          <w:szCs w:val="22"/>
        </w:rPr>
        <w:t>NG</w:t>
      </w:r>
      <w:r w:rsidRPr="001848E6">
        <w:rPr>
          <w:rFonts w:ascii="Open Sans" w:hAnsi="Open Sans" w:cs="Open Sans"/>
          <w:sz w:val="22"/>
          <w:szCs w:val="22"/>
        </w:rPr>
        <w:t>9</w:t>
      </w:r>
      <w:r w:rsidR="00B33153">
        <w:rPr>
          <w:rFonts w:ascii="Open Sans" w:hAnsi="Open Sans" w:cs="Open Sans"/>
          <w:sz w:val="22"/>
          <w:szCs w:val="22"/>
        </w:rPr>
        <w:t>-</w:t>
      </w:r>
      <w:r w:rsidRPr="001848E6">
        <w:rPr>
          <w:rFonts w:ascii="Open Sans" w:hAnsi="Open Sans" w:cs="Open Sans"/>
          <w:sz w:val="22"/>
          <w:szCs w:val="22"/>
        </w:rPr>
        <w:t>1</w:t>
      </w:r>
      <w:r w:rsidR="00B33153">
        <w:rPr>
          <w:rFonts w:ascii="Open Sans" w:hAnsi="Open Sans" w:cs="Open Sans"/>
          <w:sz w:val="22"/>
          <w:szCs w:val="22"/>
        </w:rPr>
        <w:t>-</w:t>
      </w:r>
      <w:r w:rsidRPr="001848E6">
        <w:rPr>
          <w:rFonts w:ascii="Open Sans" w:hAnsi="Open Sans" w:cs="Open Sans"/>
          <w:sz w:val="22"/>
          <w:szCs w:val="22"/>
        </w:rPr>
        <w:t xml:space="preserve">1 Program, </w:t>
      </w:r>
      <w:r>
        <w:rPr>
          <w:rFonts w:ascii="Open Sans" w:hAnsi="Open Sans" w:cs="Open Sans"/>
          <w:sz w:val="22"/>
          <w:szCs w:val="22"/>
        </w:rPr>
        <w:t xml:space="preserve">the </w:t>
      </w:r>
      <w:r w:rsidRPr="001848E6">
        <w:rPr>
          <w:rFonts w:ascii="Open Sans" w:hAnsi="Open Sans" w:cs="Open Sans"/>
          <w:sz w:val="22"/>
          <w:szCs w:val="22"/>
        </w:rPr>
        <w:t xml:space="preserve">Allied Radio Matrix for Emergency Response (ARMER) </w:t>
      </w:r>
      <w:r>
        <w:rPr>
          <w:rFonts w:ascii="Open Sans" w:hAnsi="Open Sans" w:cs="Open Sans"/>
          <w:sz w:val="22"/>
          <w:szCs w:val="22"/>
        </w:rPr>
        <w:t xml:space="preserve">statewide </w:t>
      </w:r>
      <w:r w:rsidRPr="001848E6">
        <w:rPr>
          <w:rFonts w:ascii="Open Sans" w:hAnsi="Open Sans" w:cs="Open Sans"/>
          <w:sz w:val="22"/>
          <w:szCs w:val="22"/>
        </w:rPr>
        <w:t xml:space="preserve">radio communications network, the </w:t>
      </w:r>
      <w:r w:rsidR="00B33153" w:rsidRPr="001848E6">
        <w:rPr>
          <w:rFonts w:ascii="Open Sans" w:hAnsi="Open Sans" w:cs="Open Sans"/>
          <w:sz w:val="22"/>
          <w:szCs w:val="22"/>
        </w:rPr>
        <w:t>statewide Wireless Broadband initiative in coordination with FirstNet</w:t>
      </w:r>
      <w:r w:rsidR="00B33153">
        <w:rPr>
          <w:rFonts w:ascii="Open Sans" w:hAnsi="Open Sans" w:cs="Open Sans"/>
          <w:sz w:val="22"/>
          <w:szCs w:val="22"/>
        </w:rPr>
        <w:t>,</w:t>
      </w:r>
      <w:r w:rsidR="00B33153" w:rsidRPr="001848E6">
        <w:rPr>
          <w:rFonts w:ascii="Open Sans" w:hAnsi="Open Sans" w:cs="Open Sans"/>
          <w:sz w:val="22"/>
          <w:szCs w:val="22"/>
        </w:rPr>
        <w:t xml:space="preserve"> </w:t>
      </w:r>
      <w:r w:rsidR="00B33153">
        <w:rPr>
          <w:rFonts w:ascii="Open Sans" w:hAnsi="Open Sans" w:cs="Open Sans"/>
          <w:sz w:val="22"/>
          <w:szCs w:val="22"/>
        </w:rPr>
        <w:t xml:space="preserve">the </w:t>
      </w:r>
      <w:r w:rsidR="00B33153" w:rsidRPr="001848E6">
        <w:rPr>
          <w:rFonts w:ascii="Open Sans" w:hAnsi="Open Sans" w:cs="Open Sans"/>
          <w:sz w:val="22"/>
          <w:szCs w:val="22"/>
        </w:rPr>
        <w:t>Integrated Public Alert and Warning Systems (IPAWS)</w:t>
      </w:r>
      <w:r w:rsidRPr="001848E6">
        <w:rPr>
          <w:rFonts w:ascii="Open Sans" w:hAnsi="Open Sans" w:cs="Open Sans"/>
          <w:sz w:val="22"/>
          <w:szCs w:val="22"/>
        </w:rPr>
        <w:t>, and</w:t>
      </w:r>
      <w:r w:rsidR="00B33153">
        <w:rPr>
          <w:rFonts w:ascii="Open Sans" w:hAnsi="Open Sans" w:cs="Open Sans"/>
          <w:sz w:val="22"/>
          <w:szCs w:val="22"/>
        </w:rPr>
        <w:t xml:space="preserve"> the </w:t>
      </w:r>
      <w:r w:rsidR="00B33153" w:rsidRPr="001848E6">
        <w:rPr>
          <w:rFonts w:ascii="Open Sans" w:hAnsi="Open Sans" w:cs="Open Sans"/>
          <w:sz w:val="22"/>
          <w:szCs w:val="22"/>
        </w:rPr>
        <w:t>Interoperability Program</w:t>
      </w:r>
      <w:r w:rsidR="00B33153">
        <w:rPr>
          <w:rFonts w:ascii="Open Sans" w:hAnsi="Open Sans" w:cs="Open Sans"/>
          <w:sz w:val="22"/>
          <w:szCs w:val="22"/>
        </w:rPr>
        <w:t>, which is an overarching program to unify all the programs working together.  Interoperability across all the programs is a driving force behind the organization.</w:t>
      </w:r>
    </w:p>
    <w:p w:rsidR="009870CE" w:rsidRDefault="009870CE" w:rsidP="009870CE">
      <w:pPr>
        <w:spacing w:before="120" w:line="480" w:lineRule="auto"/>
        <w:ind w:right="720" w:firstLine="360"/>
        <w:rPr>
          <w:rFonts w:ascii="Open Sans" w:hAnsi="Open Sans" w:cs="Open Sans"/>
          <w:sz w:val="22"/>
          <w:szCs w:val="22"/>
        </w:rPr>
      </w:pPr>
      <w:r w:rsidRPr="00D12C77">
        <w:rPr>
          <w:rFonts w:ascii="Open Sans" w:hAnsi="Open Sans" w:cs="Open Sans"/>
          <w:sz w:val="22"/>
          <w:szCs w:val="22"/>
        </w:rPr>
        <w:t xml:space="preserve">The State of Minnesota regularly engages the statewide public safety community in defining rural, metro, state and tribal interoperable communications requirements and to identify gaps affecting local, regional and statewide interoperability. Through a robust and inclusive governance </w:t>
      </w:r>
      <w:r w:rsidRPr="00D12C77">
        <w:rPr>
          <w:rFonts w:ascii="Open Sans" w:hAnsi="Open Sans" w:cs="Open Sans"/>
          <w:sz w:val="22"/>
          <w:szCs w:val="22"/>
        </w:rPr>
        <w:lastRenderedPageBreak/>
        <w:t xml:space="preserve">model, Minnesota, through the efforts of the ECN, guides activities and initiatives to advance public safety interoperable communications. In its role and responsibilities to the public safety community, the ECN is keenly aware of the interoperability challenges faced by our public safety community and has devoted substantial human and capital resources to address this issue throughout the State.  </w:t>
      </w:r>
    </w:p>
    <w:p w:rsidR="009870CE" w:rsidRDefault="009870CE" w:rsidP="009870CE">
      <w:pPr>
        <w:spacing w:before="120" w:line="480" w:lineRule="auto"/>
        <w:ind w:right="720" w:firstLine="360"/>
        <w:rPr>
          <w:rFonts w:ascii="Open Sans" w:hAnsi="Open Sans" w:cs="Open Sans"/>
          <w:sz w:val="22"/>
          <w:szCs w:val="22"/>
        </w:rPr>
      </w:pPr>
      <w:r>
        <w:rPr>
          <w:rFonts w:ascii="Open Sans" w:hAnsi="Open Sans" w:cs="Open Sans"/>
          <w:sz w:val="22"/>
          <w:szCs w:val="22"/>
        </w:rPr>
        <w:t xml:space="preserve">In highlighting one key example of the State’s objectives in advancing interoperable mission critical communications for public safety, Minnesota designed and deployed the ARMER network. </w:t>
      </w:r>
      <w:r w:rsidRPr="00D12C77">
        <w:rPr>
          <w:rFonts w:ascii="Open Sans" w:hAnsi="Open Sans" w:cs="Open Sans"/>
          <w:sz w:val="22"/>
          <w:szCs w:val="22"/>
        </w:rPr>
        <w:t>The ARMER network is a</w:t>
      </w:r>
      <w:r w:rsidRPr="005A1066">
        <w:rPr>
          <w:rFonts w:ascii="Open Sans" w:hAnsi="Open Sans" w:cs="Open Sans"/>
          <w:sz w:val="22"/>
          <w:szCs w:val="22"/>
        </w:rPr>
        <w:t xml:space="preserve"> robust, scalable, state-of-the-art </w:t>
      </w:r>
      <w:r w:rsidR="007B6387">
        <w:rPr>
          <w:rFonts w:ascii="Open Sans" w:hAnsi="Open Sans" w:cs="Open Sans"/>
          <w:sz w:val="22"/>
          <w:szCs w:val="22"/>
        </w:rPr>
        <w:t xml:space="preserve">land mobile radio (LMR) </w:t>
      </w:r>
      <w:r w:rsidRPr="005A1066">
        <w:rPr>
          <w:rFonts w:ascii="Open Sans" w:hAnsi="Open Sans" w:cs="Open Sans"/>
          <w:sz w:val="22"/>
          <w:szCs w:val="22"/>
        </w:rPr>
        <w:t xml:space="preserve">system that </w:t>
      </w:r>
      <w:r>
        <w:rPr>
          <w:rFonts w:ascii="Open Sans" w:hAnsi="Open Sans" w:cs="Open Sans"/>
          <w:sz w:val="22"/>
          <w:szCs w:val="22"/>
        </w:rPr>
        <w:t>is</w:t>
      </w:r>
      <w:r w:rsidRPr="005A1066">
        <w:rPr>
          <w:rFonts w:ascii="Open Sans" w:hAnsi="Open Sans" w:cs="Open Sans"/>
          <w:sz w:val="22"/>
          <w:szCs w:val="22"/>
        </w:rPr>
        <w:t xml:space="preserve"> capable of servicing the radio communications needs of every city, county, state agency, tribal government and non-government public safety entity operating in the </w:t>
      </w:r>
      <w:r>
        <w:rPr>
          <w:rFonts w:ascii="Open Sans" w:hAnsi="Open Sans" w:cs="Open Sans"/>
          <w:sz w:val="22"/>
          <w:szCs w:val="22"/>
        </w:rPr>
        <w:t>S</w:t>
      </w:r>
      <w:r w:rsidRPr="005A1066">
        <w:rPr>
          <w:rFonts w:ascii="Open Sans" w:hAnsi="Open Sans" w:cs="Open Sans"/>
          <w:sz w:val="22"/>
          <w:szCs w:val="22"/>
        </w:rPr>
        <w:t xml:space="preserve">tate. The ARMER system is the fundamental infrastructure necessary for emergency responders to achieve seamless </w:t>
      </w:r>
      <w:r>
        <w:rPr>
          <w:rFonts w:ascii="Open Sans" w:hAnsi="Open Sans" w:cs="Open Sans"/>
          <w:sz w:val="22"/>
          <w:szCs w:val="22"/>
        </w:rPr>
        <w:t xml:space="preserve">mission-critical </w:t>
      </w:r>
      <w:r w:rsidRPr="005A1066">
        <w:rPr>
          <w:rFonts w:ascii="Open Sans" w:hAnsi="Open Sans" w:cs="Open Sans"/>
          <w:sz w:val="22"/>
          <w:szCs w:val="22"/>
        </w:rPr>
        <w:t xml:space="preserve">interoperable </w:t>
      </w:r>
      <w:r>
        <w:rPr>
          <w:rFonts w:ascii="Open Sans" w:hAnsi="Open Sans" w:cs="Open Sans"/>
          <w:sz w:val="22"/>
          <w:szCs w:val="22"/>
        </w:rPr>
        <w:t xml:space="preserve">voice </w:t>
      </w:r>
      <w:r w:rsidRPr="005A1066">
        <w:rPr>
          <w:rFonts w:ascii="Open Sans" w:hAnsi="Open Sans" w:cs="Open Sans"/>
          <w:sz w:val="22"/>
          <w:szCs w:val="22"/>
        </w:rPr>
        <w:t>communications.</w:t>
      </w:r>
    </w:p>
    <w:p w:rsidR="009870CE" w:rsidRPr="009870CE" w:rsidRDefault="009870CE" w:rsidP="009870CE">
      <w:pPr>
        <w:pStyle w:val="ListParagraph"/>
        <w:numPr>
          <w:ilvl w:val="0"/>
          <w:numId w:val="1"/>
        </w:numPr>
        <w:spacing w:before="120" w:after="240"/>
        <w:ind w:left="360" w:right="720"/>
        <w:rPr>
          <w:rFonts w:ascii="Open Sans" w:hAnsi="Open Sans" w:cs="Open Sans"/>
          <w:b/>
        </w:rPr>
      </w:pPr>
      <w:r>
        <w:rPr>
          <w:rFonts w:ascii="Open Sans" w:hAnsi="Open Sans" w:cs="Open Sans"/>
          <w:b/>
        </w:rPr>
        <w:t>BACKGROUND</w:t>
      </w:r>
    </w:p>
    <w:p w:rsidR="009870CE" w:rsidRDefault="009870CE" w:rsidP="009870CE">
      <w:pPr>
        <w:pStyle w:val="ListParagraph"/>
        <w:spacing w:before="120" w:after="240" w:line="480" w:lineRule="auto"/>
        <w:ind w:left="0" w:right="720" w:firstLine="360"/>
        <w:rPr>
          <w:rFonts w:ascii="Open Sans" w:hAnsi="Open Sans" w:cs="Open Sans"/>
          <w:b/>
        </w:rPr>
      </w:pPr>
      <w:r>
        <w:rPr>
          <w:rFonts w:ascii="Open Sans" w:hAnsi="Open Sans" w:cs="Open Sans"/>
          <w:sz w:val="22"/>
          <w:szCs w:val="22"/>
        </w:rPr>
        <w:t xml:space="preserve">In support of ARMER, the state conducted rigorous outreach with the statewide public safety community to define their requirements and subsequently committed to deploy the LMR network to satisfy these objectives to drive subscription. It took many years to build adoption to its current level, and throughout this outreach timeframe, ARMER has maintained and continues to support interoperability with other disparate radio networks to ensure broad-based interoperable communications.   The </w:t>
      </w:r>
      <w:r>
        <w:rPr>
          <w:rFonts w:ascii="Open Sans" w:hAnsi="Open Sans" w:cs="Open Sans"/>
          <w:sz w:val="22"/>
          <w:szCs w:val="22"/>
        </w:rPr>
        <w:lastRenderedPageBreak/>
        <w:t xml:space="preserve">experience with the ARMER network rollout and statewide adoption can be paralleled to the goals and objectives of FirstNet.  </w:t>
      </w:r>
    </w:p>
    <w:p w:rsidR="009870CE" w:rsidRDefault="009870CE" w:rsidP="009870CE">
      <w:pPr>
        <w:spacing w:before="120" w:line="480" w:lineRule="auto"/>
        <w:ind w:right="720" w:firstLine="360"/>
        <w:rPr>
          <w:rFonts w:ascii="Open Sans" w:hAnsi="Open Sans" w:cs="Open Sans"/>
          <w:sz w:val="22"/>
          <w:szCs w:val="22"/>
        </w:rPr>
      </w:pPr>
      <w:r>
        <w:rPr>
          <w:rFonts w:ascii="Open Sans" w:hAnsi="Open Sans" w:cs="Open Sans"/>
          <w:sz w:val="22"/>
          <w:szCs w:val="22"/>
        </w:rPr>
        <w:t xml:space="preserve">The ECN is aware that on </w:t>
      </w:r>
      <w:r w:rsidRPr="00FE03B1">
        <w:rPr>
          <w:rFonts w:ascii="Open Sans" w:hAnsi="Open Sans" w:cs="Open Sans"/>
          <w:sz w:val="22"/>
          <w:szCs w:val="22"/>
        </w:rPr>
        <w:t>July 6, 2018</w:t>
      </w:r>
      <w:r>
        <w:rPr>
          <w:rFonts w:ascii="Open Sans" w:hAnsi="Open Sans" w:cs="Open Sans"/>
          <w:sz w:val="22"/>
          <w:szCs w:val="22"/>
        </w:rPr>
        <w:t xml:space="preserve">, </w:t>
      </w:r>
      <w:r w:rsidRPr="00FE03B1">
        <w:rPr>
          <w:rFonts w:ascii="Open Sans" w:hAnsi="Open Sans" w:cs="Open Sans"/>
          <w:sz w:val="22"/>
          <w:szCs w:val="22"/>
        </w:rPr>
        <w:t>The Colorado Pubic Safety Broadband Governing Body</w:t>
      </w:r>
      <w:r>
        <w:rPr>
          <w:rFonts w:ascii="Open Sans" w:hAnsi="Open Sans" w:cs="Open Sans"/>
          <w:sz w:val="22"/>
          <w:szCs w:val="22"/>
        </w:rPr>
        <w:t xml:space="preserve"> (CPSBGB) filed a request with the </w:t>
      </w:r>
      <w:r w:rsidRPr="00FE03B1">
        <w:rPr>
          <w:rFonts w:ascii="Open Sans" w:hAnsi="Open Sans" w:cs="Open Sans"/>
          <w:sz w:val="22"/>
          <w:szCs w:val="22"/>
        </w:rPr>
        <w:t xml:space="preserve">Commission </w:t>
      </w:r>
      <w:r>
        <w:rPr>
          <w:rFonts w:ascii="Open Sans" w:hAnsi="Open Sans" w:cs="Open Sans"/>
          <w:sz w:val="22"/>
          <w:szCs w:val="22"/>
        </w:rPr>
        <w:t>for c</w:t>
      </w:r>
      <w:r w:rsidRPr="00FE03B1">
        <w:rPr>
          <w:rFonts w:ascii="Open Sans" w:hAnsi="Open Sans" w:cs="Open Sans"/>
          <w:sz w:val="22"/>
          <w:szCs w:val="22"/>
        </w:rPr>
        <w:t xml:space="preserve">larification on </w:t>
      </w:r>
      <w:r>
        <w:rPr>
          <w:rFonts w:ascii="Open Sans" w:hAnsi="Open Sans" w:cs="Open Sans"/>
          <w:sz w:val="22"/>
          <w:szCs w:val="22"/>
        </w:rPr>
        <w:t>g</w:t>
      </w:r>
      <w:r w:rsidRPr="00FE03B1">
        <w:rPr>
          <w:rFonts w:ascii="Open Sans" w:hAnsi="Open Sans" w:cs="Open Sans"/>
          <w:sz w:val="22"/>
          <w:szCs w:val="22"/>
        </w:rPr>
        <w:t xml:space="preserve">uidelines for </w:t>
      </w:r>
      <w:r>
        <w:rPr>
          <w:rFonts w:ascii="Open Sans" w:hAnsi="Open Sans" w:cs="Open Sans"/>
          <w:sz w:val="22"/>
          <w:szCs w:val="22"/>
        </w:rPr>
        <w:t>c</w:t>
      </w:r>
      <w:r w:rsidRPr="00FE03B1">
        <w:rPr>
          <w:rFonts w:ascii="Open Sans" w:hAnsi="Open Sans" w:cs="Open Sans"/>
          <w:sz w:val="22"/>
          <w:szCs w:val="22"/>
        </w:rPr>
        <w:t xml:space="preserve">ommercial </w:t>
      </w:r>
      <w:r>
        <w:rPr>
          <w:rFonts w:ascii="Open Sans" w:hAnsi="Open Sans" w:cs="Open Sans"/>
          <w:sz w:val="22"/>
          <w:szCs w:val="22"/>
        </w:rPr>
        <w:t>n</w:t>
      </w:r>
      <w:r w:rsidRPr="00FE03B1">
        <w:rPr>
          <w:rFonts w:ascii="Open Sans" w:hAnsi="Open Sans" w:cs="Open Sans"/>
          <w:sz w:val="22"/>
          <w:szCs w:val="22"/>
        </w:rPr>
        <w:t xml:space="preserve">etwork </w:t>
      </w:r>
      <w:r>
        <w:rPr>
          <w:rFonts w:ascii="Open Sans" w:hAnsi="Open Sans" w:cs="Open Sans"/>
          <w:sz w:val="22"/>
          <w:szCs w:val="22"/>
        </w:rPr>
        <w:t>i</w:t>
      </w:r>
      <w:r w:rsidRPr="00FE03B1">
        <w:rPr>
          <w:rFonts w:ascii="Open Sans" w:hAnsi="Open Sans" w:cs="Open Sans"/>
          <w:sz w:val="22"/>
          <w:szCs w:val="22"/>
        </w:rPr>
        <w:t>nteroperability for the Nationwide Public Safety Broadband Network (NPSBN)</w:t>
      </w:r>
      <w:r>
        <w:rPr>
          <w:rFonts w:ascii="Open Sans" w:hAnsi="Open Sans" w:cs="Open Sans"/>
          <w:sz w:val="22"/>
          <w:szCs w:val="22"/>
        </w:rPr>
        <w:t>.</w:t>
      </w:r>
    </w:p>
    <w:p w:rsidR="009870CE" w:rsidRDefault="009870CE" w:rsidP="009870CE">
      <w:pPr>
        <w:spacing w:before="120" w:line="480" w:lineRule="auto"/>
        <w:ind w:right="720" w:firstLine="360"/>
        <w:rPr>
          <w:rFonts w:ascii="Open Sans" w:hAnsi="Open Sans" w:cs="Open Sans"/>
          <w:sz w:val="22"/>
          <w:szCs w:val="22"/>
        </w:rPr>
      </w:pPr>
      <w:r>
        <w:rPr>
          <w:rFonts w:ascii="Open Sans" w:hAnsi="Open Sans" w:cs="Open Sans"/>
          <w:sz w:val="22"/>
          <w:szCs w:val="22"/>
        </w:rPr>
        <w:t xml:space="preserve">On </w:t>
      </w:r>
      <w:r w:rsidRPr="00FE03B1">
        <w:rPr>
          <w:rFonts w:ascii="Open Sans" w:hAnsi="Open Sans" w:cs="Open Sans"/>
          <w:sz w:val="22"/>
          <w:szCs w:val="22"/>
        </w:rPr>
        <w:t>October 23, 2018</w:t>
      </w:r>
      <w:r>
        <w:rPr>
          <w:rFonts w:ascii="Open Sans" w:hAnsi="Open Sans" w:cs="Open Sans"/>
          <w:sz w:val="22"/>
          <w:szCs w:val="22"/>
        </w:rPr>
        <w:t>, the Commission</w:t>
      </w:r>
      <w:r w:rsidRPr="00FE03B1">
        <w:rPr>
          <w:rFonts w:ascii="Open Sans" w:hAnsi="Open Sans" w:cs="Open Sans"/>
          <w:sz w:val="22"/>
          <w:szCs w:val="22"/>
        </w:rPr>
        <w:t xml:space="preserve"> dismisse</w:t>
      </w:r>
      <w:r>
        <w:rPr>
          <w:rFonts w:ascii="Open Sans" w:hAnsi="Open Sans" w:cs="Open Sans"/>
          <w:sz w:val="22"/>
          <w:szCs w:val="22"/>
        </w:rPr>
        <w:t>d CPSBGB’</w:t>
      </w:r>
      <w:r w:rsidR="007B6387">
        <w:rPr>
          <w:rFonts w:ascii="Open Sans" w:hAnsi="Open Sans" w:cs="Open Sans"/>
          <w:sz w:val="22"/>
          <w:szCs w:val="22"/>
        </w:rPr>
        <w:t>s</w:t>
      </w:r>
      <w:r>
        <w:rPr>
          <w:rFonts w:ascii="Open Sans" w:hAnsi="Open Sans" w:cs="Open Sans"/>
          <w:sz w:val="22"/>
          <w:szCs w:val="22"/>
        </w:rPr>
        <w:t xml:space="preserve"> request</w:t>
      </w:r>
      <w:r w:rsidRPr="00FE03B1">
        <w:rPr>
          <w:rFonts w:ascii="Open Sans" w:hAnsi="Open Sans" w:cs="Open Sans"/>
          <w:sz w:val="22"/>
          <w:szCs w:val="22"/>
        </w:rPr>
        <w:t xml:space="preserve"> without prejudice</w:t>
      </w:r>
      <w:r>
        <w:rPr>
          <w:rFonts w:ascii="Open Sans" w:hAnsi="Open Sans" w:cs="Open Sans"/>
          <w:sz w:val="22"/>
          <w:szCs w:val="22"/>
        </w:rPr>
        <w:t>.</w:t>
      </w:r>
    </w:p>
    <w:p w:rsidR="009870CE" w:rsidRDefault="009870CE" w:rsidP="009870CE">
      <w:pPr>
        <w:spacing w:before="120" w:line="480" w:lineRule="auto"/>
        <w:ind w:right="720" w:firstLine="360"/>
        <w:rPr>
          <w:rFonts w:ascii="Open Sans" w:hAnsi="Open Sans" w:cs="Open Sans"/>
          <w:sz w:val="22"/>
          <w:szCs w:val="22"/>
        </w:rPr>
      </w:pPr>
      <w:r>
        <w:rPr>
          <w:rFonts w:ascii="Open Sans" w:hAnsi="Open Sans" w:cs="Open Sans"/>
          <w:sz w:val="22"/>
          <w:szCs w:val="22"/>
        </w:rPr>
        <w:t xml:space="preserve">On </w:t>
      </w:r>
      <w:r w:rsidRPr="00FE03B1">
        <w:rPr>
          <w:rFonts w:ascii="Open Sans" w:hAnsi="Open Sans" w:cs="Open Sans"/>
          <w:sz w:val="22"/>
          <w:szCs w:val="22"/>
        </w:rPr>
        <w:t>November 21, 2018</w:t>
      </w:r>
      <w:r>
        <w:rPr>
          <w:rFonts w:ascii="Open Sans" w:hAnsi="Open Sans" w:cs="Open Sans"/>
          <w:sz w:val="22"/>
          <w:szCs w:val="22"/>
        </w:rPr>
        <w:t xml:space="preserve">, </w:t>
      </w:r>
      <w:r w:rsidRPr="00FE03B1">
        <w:rPr>
          <w:rFonts w:ascii="Open Sans" w:hAnsi="Open Sans" w:cs="Open Sans"/>
          <w:sz w:val="22"/>
          <w:szCs w:val="22"/>
        </w:rPr>
        <w:t>The Boulder Regional Emergency Telephone Service Authority (“BRETSA”)</w:t>
      </w:r>
      <w:r>
        <w:rPr>
          <w:rFonts w:ascii="Open Sans" w:hAnsi="Open Sans" w:cs="Open Sans"/>
          <w:sz w:val="22"/>
          <w:szCs w:val="22"/>
        </w:rPr>
        <w:t xml:space="preserve"> filed a p</w:t>
      </w:r>
      <w:r w:rsidRPr="00FE03B1">
        <w:rPr>
          <w:rFonts w:ascii="Open Sans" w:hAnsi="Open Sans" w:cs="Open Sans"/>
          <w:sz w:val="22"/>
          <w:szCs w:val="22"/>
        </w:rPr>
        <w:t xml:space="preserve">etition for reconsideration, or in the alternative, </w:t>
      </w:r>
      <w:r>
        <w:rPr>
          <w:rFonts w:ascii="Open Sans" w:hAnsi="Open Sans" w:cs="Open Sans"/>
          <w:sz w:val="22"/>
          <w:szCs w:val="22"/>
        </w:rPr>
        <w:t xml:space="preserve">a </w:t>
      </w:r>
      <w:r w:rsidRPr="00FE03B1">
        <w:rPr>
          <w:rFonts w:ascii="Open Sans" w:hAnsi="Open Sans" w:cs="Open Sans"/>
          <w:sz w:val="22"/>
          <w:szCs w:val="22"/>
        </w:rPr>
        <w:t>petition for declaratory ruling and petition for rulemaking</w:t>
      </w:r>
      <w:r>
        <w:rPr>
          <w:rFonts w:ascii="Open Sans" w:hAnsi="Open Sans" w:cs="Open Sans"/>
          <w:sz w:val="22"/>
          <w:szCs w:val="22"/>
        </w:rPr>
        <w:t xml:space="preserve"> relating to the request for clarification by the CPSBGB.</w:t>
      </w:r>
    </w:p>
    <w:p w:rsidR="009870CE" w:rsidRDefault="009870CE" w:rsidP="009870CE">
      <w:pPr>
        <w:spacing w:before="120" w:line="480" w:lineRule="auto"/>
        <w:ind w:right="720" w:firstLine="360"/>
        <w:rPr>
          <w:rFonts w:ascii="Open Sans" w:hAnsi="Open Sans" w:cs="Open Sans"/>
          <w:sz w:val="22"/>
          <w:szCs w:val="22"/>
        </w:rPr>
      </w:pPr>
      <w:r>
        <w:rPr>
          <w:rFonts w:ascii="Open Sans" w:hAnsi="Open Sans" w:cs="Open Sans"/>
          <w:sz w:val="22"/>
          <w:szCs w:val="22"/>
        </w:rPr>
        <w:t xml:space="preserve">On September 11, 2019, the Commission issued Public Notice </w:t>
      </w:r>
      <w:r w:rsidRPr="006A1E81">
        <w:rPr>
          <w:rFonts w:ascii="Open Sans" w:hAnsi="Open Sans" w:cs="Open Sans"/>
          <w:sz w:val="22"/>
          <w:szCs w:val="22"/>
        </w:rPr>
        <w:t>DA 19-902</w:t>
      </w:r>
      <w:r>
        <w:rPr>
          <w:rFonts w:ascii="Open Sans" w:hAnsi="Open Sans" w:cs="Open Sans"/>
          <w:sz w:val="22"/>
          <w:szCs w:val="22"/>
        </w:rPr>
        <w:t xml:space="preserve"> seeking comment on petitions filed by BRETSA.</w:t>
      </w:r>
    </w:p>
    <w:p w:rsidR="009870CE" w:rsidRPr="00FE03B1" w:rsidRDefault="009870CE" w:rsidP="009870CE">
      <w:pPr>
        <w:spacing w:before="120" w:line="480" w:lineRule="auto"/>
        <w:ind w:right="720" w:firstLine="360"/>
        <w:rPr>
          <w:rFonts w:ascii="Open Sans" w:hAnsi="Open Sans" w:cs="Open Sans"/>
          <w:sz w:val="22"/>
          <w:szCs w:val="22"/>
        </w:rPr>
      </w:pPr>
      <w:r>
        <w:rPr>
          <w:rFonts w:ascii="Open Sans" w:hAnsi="Open Sans" w:cs="Open Sans"/>
          <w:sz w:val="22"/>
          <w:szCs w:val="22"/>
        </w:rPr>
        <w:t xml:space="preserve">In the sections below, the ECN addresses the issues raised in the Public Notice.  The wording from the Public Notice is provided in </w:t>
      </w:r>
      <w:r w:rsidRPr="00FE03B1">
        <w:rPr>
          <w:rFonts w:ascii="Open Sans" w:hAnsi="Open Sans" w:cs="Open Sans"/>
          <w:i/>
          <w:sz w:val="22"/>
          <w:szCs w:val="22"/>
        </w:rPr>
        <w:t>italics</w:t>
      </w:r>
      <w:r>
        <w:rPr>
          <w:rFonts w:ascii="Open Sans" w:hAnsi="Open Sans" w:cs="Open Sans"/>
          <w:sz w:val="22"/>
          <w:szCs w:val="22"/>
        </w:rPr>
        <w:t>, followed by comments by the ECN.</w:t>
      </w:r>
    </w:p>
    <w:p w:rsidR="009870CE" w:rsidRPr="00B75835" w:rsidRDefault="009870CE" w:rsidP="009870CE">
      <w:pPr>
        <w:pStyle w:val="ListParagraph"/>
        <w:numPr>
          <w:ilvl w:val="0"/>
          <w:numId w:val="1"/>
        </w:numPr>
        <w:spacing w:before="120" w:after="240"/>
        <w:ind w:left="360" w:right="720"/>
        <w:rPr>
          <w:rFonts w:ascii="Open Sans" w:hAnsi="Open Sans" w:cs="Open Sans"/>
          <w:b/>
        </w:rPr>
      </w:pPr>
      <w:r>
        <w:rPr>
          <w:rFonts w:ascii="Open Sans" w:hAnsi="Open Sans" w:cs="Open Sans"/>
          <w:b/>
        </w:rPr>
        <w:t>DECLARATORY RULING</w:t>
      </w:r>
    </w:p>
    <w:p w:rsidR="009870CE" w:rsidRPr="00235C8C" w:rsidRDefault="009870CE" w:rsidP="009870CE">
      <w:pPr>
        <w:spacing w:before="120" w:line="480" w:lineRule="auto"/>
        <w:ind w:right="720"/>
        <w:rPr>
          <w:rFonts w:ascii="Open Sans" w:hAnsi="Open Sans" w:cs="Open Sans"/>
          <w:i/>
          <w:sz w:val="22"/>
          <w:szCs w:val="22"/>
        </w:rPr>
      </w:pPr>
      <w:r w:rsidRPr="00235C8C">
        <w:rPr>
          <w:rFonts w:ascii="Open Sans" w:hAnsi="Open Sans" w:cs="Open Sans"/>
          <w:i/>
          <w:sz w:val="22"/>
          <w:szCs w:val="22"/>
        </w:rPr>
        <w:t>The Public Notice seeks comment on BRETSA’s request that the Commission issue a declaratory ruling to ensure that “interoperability is a fundamental responsibility of FirstNet and that FirstNet is supported at all levels including network, services, applications, and devices.”</w:t>
      </w:r>
    </w:p>
    <w:p w:rsidR="009870CE" w:rsidRPr="009870CE" w:rsidRDefault="009870CE" w:rsidP="009870CE">
      <w:pPr>
        <w:spacing w:before="120" w:line="480" w:lineRule="auto"/>
        <w:ind w:right="720" w:firstLine="720"/>
        <w:rPr>
          <w:rFonts w:ascii="Open Sans" w:hAnsi="Open Sans" w:cs="Open Sans"/>
          <w:sz w:val="22"/>
          <w:szCs w:val="22"/>
        </w:rPr>
      </w:pPr>
      <w:r w:rsidRPr="009870CE">
        <w:rPr>
          <w:rFonts w:ascii="Open Sans" w:hAnsi="Open Sans" w:cs="Open Sans"/>
          <w:sz w:val="22"/>
          <w:szCs w:val="22"/>
        </w:rPr>
        <w:t xml:space="preserve">The ECN supports </w:t>
      </w:r>
      <w:r w:rsidR="00E61853">
        <w:rPr>
          <w:rFonts w:ascii="Open Sans" w:hAnsi="Open Sans" w:cs="Open Sans"/>
          <w:sz w:val="22"/>
          <w:szCs w:val="22"/>
        </w:rPr>
        <w:t>the</w:t>
      </w:r>
      <w:r w:rsidR="00E61853" w:rsidRPr="009870CE">
        <w:rPr>
          <w:rFonts w:ascii="Open Sans" w:hAnsi="Open Sans" w:cs="Open Sans"/>
          <w:sz w:val="22"/>
          <w:szCs w:val="22"/>
        </w:rPr>
        <w:t xml:space="preserve"> </w:t>
      </w:r>
      <w:r w:rsidRPr="009870CE">
        <w:rPr>
          <w:rFonts w:ascii="Open Sans" w:hAnsi="Open Sans" w:cs="Open Sans"/>
          <w:sz w:val="22"/>
          <w:szCs w:val="22"/>
        </w:rPr>
        <w:t xml:space="preserve">request of the Commission to issue a declaratory ruling to confirm that interoperability is a fundamental responsibility of FirstNet.  </w:t>
      </w:r>
    </w:p>
    <w:p w:rsidR="009870CE" w:rsidRDefault="009870CE" w:rsidP="009870CE">
      <w:pPr>
        <w:spacing w:before="120" w:line="480" w:lineRule="auto"/>
        <w:ind w:right="720"/>
        <w:rPr>
          <w:rFonts w:ascii="Open Sans" w:hAnsi="Open Sans" w:cs="Open Sans"/>
          <w:sz w:val="22"/>
          <w:szCs w:val="22"/>
        </w:rPr>
      </w:pPr>
      <w:r w:rsidRPr="009870CE">
        <w:rPr>
          <w:rFonts w:ascii="Open Sans" w:hAnsi="Open Sans" w:cs="Open Sans"/>
          <w:sz w:val="22"/>
          <w:szCs w:val="22"/>
        </w:rPr>
        <w:t>The ECN has achieved statewide mission-critical voice interoperability via the ARMER</w:t>
      </w:r>
      <w:r>
        <w:rPr>
          <w:rFonts w:ascii="Open Sans" w:hAnsi="Open Sans" w:cs="Open Sans"/>
          <w:sz w:val="22"/>
          <w:szCs w:val="22"/>
        </w:rPr>
        <w:t xml:space="preserve"> system</w:t>
      </w:r>
      <w:r w:rsidRPr="00235C8C">
        <w:rPr>
          <w:rFonts w:ascii="Open Sans" w:hAnsi="Open Sans" w:cs="Open Sans"/>
          <w:sz w:val="22"/>
          <w:szCs w:val="22"/>
        </w:rPr>
        <w:t xml:space="preserve"> </w:t>
      </w:r>
      <w:r>
        <w:rPr>
          <w:rFonts w:ascii="Open Sans" w:hAnsi="Open Sans" w:cs="Open Sans"/>
          <w:sz w:val="22"/>
          <w:szCs w:val="22"/>
        </w:rPr>
        <w:t xml:space="preserve">and continues to drive and maintain interoperability with disparate local, regional, and federal LMR networks. Minnesota actively advances the </w:t>
      </w:r>
      <w:r w:rsidRPr="005A1066">
        <w:rPr>
          <w:rFonts w:ascii="Open Sans" w:hAnsi="Open Sans" w:cs="Open Sans"/>
          <w:sz w:val="22"/>
          <w:szCs w:val="22"/>
        </w:rPr>
        <w:t xml:space="preserve">statewide Wireless Broadband initiative </w:t>
      </w:r>
      <w:r>
        <w:rPr>
          <w:rFonts w:ascii="Open Sans" w:hAnsi="Open Sans" w:cs="Open Sans"/>
          <w:sz w:val="22"/>
          <w:szCs w:val="22"/>
        </w:rPr>
        <w:t xml:space="preserve">and envisions </w:t>
      </w:r>
      <w:r w:rsidRPr="005A1066">
        <w:rPr>
          <w:rFonts w:ascii="Open Sans" w:hAnsi="Open Sans" w:cs="Open Sans"/>
          <w:sz w:val="22"/>
          <w:szCs w:val="22"/>
        </w:rPr>
        <w:t>FirstNet</w:t>
      </w:r>
      <w:r>
        <w:rPr>
          <w:rFonts w:ascii="Open Sans" w:hAnsi="Open Sans" w:cs="Open Sans"/>
          <w:sz w:val="22"/>
          <w:szCs w:val="22"/>
        </w:rPr>
        <w:t xml:space="preserve"> as a central</w:t>
      </w:r>
      <w:r w:rsidDel="002817F8">
        <w:rPr>
          <w:rFonts w:ascii="Open Sans" w:hAnsi="Open Sans" w:cs="Open Sans"/>
          <w:sz w:val="22"/>
          <w:szCs w:val="22"/>
        </w:rPr>
        <w:t xml:space="preserve"> </w:t>
      </w:r>
      <w:r>
        <w:rPr>
          <w:rFonts w:ascii="Open Sans" w:hAnsi="Open Sans" w:cs="Open Sans"/>
          <w:sz w:val="22"/>
          <w:szCs w:val="22"/>
        </w:rPr>
        <w:t xml:space="preserve"> solution to provide mission-critical interoperable data communications, as well as supplemental voice communications.  As such, and as envisioned by the creation of </w:t>
      </w:r>
      <w:r w:rsidRPr="006A1E81">
        <w:rPr>
          <w:rFonts w:ascii="Open Sans" w:hAnsi="Open Sans" w:cs="Open Sans"/>
          <w:sz w:val="22"/>
          <w:szCs w:val="22"/>
        </w:rPr>
        <w:t>the Middle Class Tax Relief and Job Creation Act of 2012</w:t>
      </w:r>
      <w:r>
        <w:rPr>
          <w:rFonts w:ascii="Open Sans" w:hAnsi="Open Sans" w:cs="Open Sans"/>
          <w:sz w:val="22"/>
          <w:szCs w:val="22"/>
        </w:rPr>
        <w:t>, it is essential for FirstNet to provide seamless interoperability for all public safety users, including those using mission-critical two-way radio systems as well as other wireless broadband providers.</w:t>
      </w:r>
    </w:p>
    <w:p w:rsidR="009870CE" w:rsidRDefault="009870CE" w:rsidP="009870CE">
      <w:pPr>
        <w:spacing w:before="120" w:line="480" w:lineRule="auto"/>
        <w:ind w:right="720" w:firstLine="720"/>
        <w:rPr>
          <w:rFonts w:ascii="Open Sans" w:hAnsi="Open Sans" w:cs="Open Sans"/>
          <w:sz w:val="22"/>
          <w:szCs w:val="22"/>
        </w:rPr>
      </w:pPr>
      <w:r>
        <w:rPr>
          <w:rFonts w:ascii="Open Sans" w:hAnsi="Open Sans" w:cs="Open Sans"/>
          <w:sz w:val="22"/>
          <w:szCs w:val="22"/>
        </w:rPr>
        <w:t xml:space="preserve">The ECN foresees at least two scenarios that support this conclusion.  As </w:t>
      </w:r>
      <w:r w:rsidR="007B6387">
        <w:rPr>
          <w:rFonts w:ascii="Open Sans" w:hAnsi="Open Sans" w:cs="Open Sans"/>
          <w:sz w:val="22"/>
          <w:szCs w:val="22"/>
        </w:rPr>
        <w:t xml:space="preserve">previously </w:t>
      </w:r>
      <w:r>
        <w:rPr>
          <w:rFonts w:ascii="Open Sans" w:hAnsi="Open Sans" w:cs="Open Sans"/>
          <w:sz w:val="22"/>
          <w:szCs w:val="22"/>
        </w:rPr>
        <w:t>stated, the State of Minnesota has achieved statewide mission-critical voice interoperability through use of the ARMER system.  ARMER currently supports nearly 2,000 law enforcement, fire and EMS agencies throughout the State with over 96,000 registered users.  When mission-critical push-to-talk (MCPTT) services are offered through FirstNet or other wireless broadband providers, these services will likely be used to supplement the voice services provided by ARMER.  As a result, it is critical that interoperability exists between these multiple services to fully support the public safety mission.</w:t>
      </w:r>
    </w:p>
    <w:p w:rsidR="009870CE" w:rsidRDefault="009870CE" w:rsidP="009870CE">
      <w:pPr>
        <w:spacing w:before="120" w:line="480" w:lineRule="auto"/>
        <w:ind w:right="720" w:firstLine="360"/>
        <w:rPr>
          <w:rFonts w:ascii="Open Sans" w:hAnsi="Open Sans" w:cs="Open Sans"/>
          <w:sz w:val="22"/>
          <w:szCs w:val="22"/>
        </w:rPr>
      </w:pPr>
      <w:r>
        <w:rPr>
          <w:rFonts w:ascii="Open Sans" w:hAnsi="Open Sans" w:cs="Open Sans"/>
          <w:sz w:val="22"/>
          <w:szCs w:val="22"/>
        </w:rPr>
        <w:t>ECN also considers it important to understand the interoperable features that will be supported with the proposed MCPTT solution.  Some of the key voice interoperability features that must be considered include:</w:t>
      </w:r>
    </w:p>
    <w:p w:rsidR="009870CE" w:rsidRDefault="009870CE" w:rsidP="009870CE">
      <w:pPr>
        <w:pStyle w:val="ListParagraph"/>
        <w:numPr>
          <w:ilvl w:val="0"/>
          <w:numId w:val="2"/>
        </w:numPr>
        <w:spacing w:line="480" w:lineRule="auto"/>
        <w:ind w:right="720"/>
        <w:rPr>
          <w:rFonts w:ascii="Open Sans" w:hAnsi="Open Sans" w:cs="Open Sans"/>
          <w:sz w:val="22"/>
          <w:szCs w:val="22"/>
        </w:rPr>
      </w:pPr>
      <w:r>
        <w:rPr>
          <w:rFonts w:ascii="Open Sans" w:hAnsi="Open Sans" w:cs="Open Sans"/>
          <w:sz w:val="22"/>
          <w:szCs w:val="22"/>
        </w:rPr>
        <w:t>Common talkgroups between the different services</w:t>
      </w:r>
    </w:p>
    <w:p w:rsidR="009870CE" w:rsidRDefault="009870CE" w:rsidP="009870CE">
      <w:pPr>
        <w:pStyle w:val="ListParagraph"/>
        <w:numPr>
          <w:ilvl w:val="0"/>
          <w:numId w:val="2"/>
        </w:numPr>
        <w:spacing w:line="480" w:lineRule="auto"/>
        <w:ind w:right="720"/>
        <w:rPr>
          <w:rFonts w:ascii="Open Sans" w:hAnsi="Open Sans" w:cs="Open Sans"/>
          <w:sz w:val="22"/>
          <w:szCs w:val="22"/>
        </w:rPr>
      </w:pPr>
      <w:r>
        <w:rPr>
          <w:rFonts w:ascii="Open Sans" w:hAnsi="Open Sans" w:cs="Open Sans"/>
          <w:sz w:val="22"/>
          <w:szCs w:val="22"/>
        </w:rPr>
        <w:t>Voice coding algorithms</w:t>
      </w:r>
    </w:p>
    <w:p w:rsidR="009870CE" w:rsidRDefault="009870CE" w:rsidP="009870CE">
      <w:pPr>
        <w:pStyle w:val="ListParagraph"/>
        <w:numPr>
          <w:ilvl w:val="0"/>
          <w:numId w:val="2"/>
        </w:numPr>
        <w:spacing w:line="480" w:lineRule="auto"/>
        <w:ind w:right="720"/>
        <w:rPr>
          <w:rFonts w:ascii="Open Sans" w:hAnsi="Open Sans" w:cs="Open Sans"/>
          <w:sz w:val="22"/>
          <w:szCs w:val="22"/>
        </w:rPr>
      </w:pPr>
      <w:r>
        <w:rPr>
          <w:rFonts w:ascii="Open Sans" w:hAnsi="Open Sans" w:cs="Open Sans"/>
          <w:sz w:val="22"/>
          <w:szCs w:val="22"/>
        </w:rPr>
        <w:t>Radio/Device IDs</w:t>
      </w:r>
    </w:p>
    <w:p w:rsidR="009870CE" w:rsidRDefault="009870CE" w:rsidP="009870CE">
      <w:pPr>
        <w:pStyle w:val="ListParagraph"/>
        <w:numPr>
          <w:ilvl w:val="0"/>
          <w:numId w:val="2"/>
        </w:numPr>
        <w:spacing w:line="480" w:lineRule="auto"/>
        <w:ind w:right="720"/>
        <w:rPr>
          <w:rFonts w:ascii="Open Sans" w:hAnsi="Open Sans" w:cs="Open Sans"/>
          <w:sz w:val="22"/>
          <w:szCs w:val="22"/>
        </w:rPr>
      </w:pPr>
      <w:r>
        <w:rPr>
          <w:rFonts w:ascii="Open Sans" w:hAnsi="Open Sans" w:cs="Open Sans"/>
          <w:sz w:val="22"/>
          <w:szCs w:val="22"/>
        </w:rPr>
        <w:t>Priority settings (to be discussed further)</w:t>
      </w:r>
    </w:p>
    <w:p w:rsidR="009870CE" w:rsidRPr="00FA1108" w:rsidRDefault="009870CE" w:rsidP="009870CE">
      <w:pPr>
        <w:pStyle w:val="ListParagraph"/>
        <w:numPr>
          <w:ilvl w:val="0"/>
          <w:numId w:val="2"/>
        </w:numPr>
        <w:spacing w:line="480" w:lineRule="auto"/>
        <w:ind w:right="720"/>
        <w:rPr>
          <w:rFonts w:ascii="Open Sans" w:hAnsi="Open Sans" w:cs="Open Sans"/>
          <w:sz w:val="22"/>
          <w:szCs w:val="22"/>
        </w:rPr>
      </w:pPr>
      <w:r>
        <w:rPr>
          <w:rFonts w:ascii="Open Sans" w:hAnsi="Open Sans" w:cs="Open Sans"/>
          <w:sz w:val="22"/>
          <w:szCs w:val="22"/>
        </w:rPr>
        <w:t>Encryption (algorithms, end-to-end encryption, key management, etc.).</w:t>
      </w:r>
    </w:p>
    <w:p w:rsidR="009870CE" w:rsidRDefault="009870CE" w:rsidP="009870CE">
      <w:pPr>
        <w:spacing w:before="120" w:line="480" w:lineRule="auto"/>
        <w:ind w:right="720"/>
        <w:rPr>
          <w:rFonts w:ascii="Open Sans" w:hAnsi="Open Sans" w:cs="Open Sans"/>
          <w:sz w:val="22"/>
          <w:szCs w:val="22"/>
        </w:rPr>
      </w:pPr>
      <w:r>
        <w:rPr>
          <w:rFonts w:ascii="Open Sans" w:hAnsi="Open Sans" w:cs="Open Sans"/>
          <w:sz w:val="22"/>
          <w:szCs w:val="22"/>
        </w:rPr>
        <w:t xml:space="preserve">Additionally, survey research performed by the State indicates that all four nationwide wireless broadband service providers currently provide service to public safety agencies throughout the State.  Public safety subscriptions to FirstNet are expanding, however, at the time of the survey, a large majority of public safety broadband subscriptions were with providers other than AT&amp;T/FirstNet.  As a result  and considering a variety of other factors, including cellular coverage advantages and limitations between carriers, service contracts, device funding and others, we anticipate that multiple commercial carriers will continue to provide wireless broadband service to the statewide public safety community for years to come.   </w:t>
      </w:r>
    </w:p>
    <w:p w:rsidR="009870CE" w:rsidRDefault="009870CE" w:rsidP="009870CE">
      <w:pPr>
        <w:spacing w:before="120" w:line="480" w:lineRule="auto"/>
        <w:ind w:right="720" w:firstLine="360"/>
        <w:rPr>
          <w:rFonts w:ascii="Open Sans" w:hAnsi="Open Sans" w:cs="Open Sans"/>
          <w:sz w:val="22"/>
          <w:szCs w:val="22"/>
        </w:rPr>
      </w:pPr>
      <w:r>
        <w:rPr>
          <w:rFonts w:ascii="Open Sans" w:hAnsi="Open Sans" w:cs="Open Sans"/>
          <w:sz w:val="22"/>
          <w:szCs w:val="22"/>
        </w:rPr>
        <w:t>Therefore, it is highly unlikely that a single broadband service provider will be providing push-to-talk (PTT) and other broadband data services to public safety agencies within Minnesota at any given time, or at the scene of any given multi-agency coordinated response.  As a result, it is essential that interoperability of these services exist between broadband service providers, including FirstNet.  The primary services that will require interoperability are likely to include push-to-talk, mission-critical push-to-talk, situational awareness and video applications, as well as others.</w:t>
      </w:r>
    </w:p>
    <w:p w:rsidR="009870CE" w:rsidRPr="00B75835" w:rsidRDefault="009870CE" w:rsidP="009870CE">
      <w:pPr>
        <w:pStyle w:val="ListParagraph"/>
        <w:numPr>
          <w:ilvl w:val="0"/>
          <w:numId w:val="1"/>
        </w:numPr>
        <w:spacing w:before="120" w:after="240"/>
        <w:ind w:left="360" w:right="720"/>
        <w:rPr>
          <w:rFonts w:ascii="Open Sans" w:hAnsi="Open Sans" w:cs="Open Sans"/>
          <w:b/>
        </w:rPr>
      </w:pPr>
      <w:r w:rsidRPr="00B75835">
        <w:rPr>
          <w:rFonts w:ascii="Open Sans" w:hAnsi="Open Sans" w:cs="Open Sans"/>
          <w:b/>
        </w:rPr>
        <w:t>NOTICE OF PROPOSED RULEMAKING</w:t>
      </w:r>
      <w:r>
        <w:rPr>
          <w:rFonts w:ascii="Open Sans" w:hAnsi="Open Sans" w:cs="Open Sans"/>
          <w:b/>
        </w:rPr>
        <w:t>/NOTICE OF INQUIRY</w:t>
      </w:r>
    </w:p>
    <w:p w:rsidR="009870CE" w:rsidRDefault="009870CE" w:rsidP="009870CE">
      <w:pPr>
        <w:spacing w:before="120" w:line="480" w:lineRule="auto"/>
        <w:ind w:right="720" w:firstLine="360"/>
        <w:rPr>
          <w:rFonts w:ascii="Open Sans" w:hAnsi="Open Sans" w:cs="Open Sans"/>
          <w:i/>
          <w:sz w:val="22"/>
          <w:szCs w:val="22"/>
        </w:rPr>
      </w:pPr>
      <w:r w:rsidRPr="00E94EC3">
        <w:rPr>
          <w:rFonts w:ascii="Open Sans" w:hAnsi="Open Sans" w:cs="Open Sans"/>
          <w:i/>
          <w:sz w:val="22"/>
          <w:szCs w:val="22"/>
        </w:rPr>
        <w:t>The Public Notice also seeks comment on BRETSA’s request that the Commission issue a notice of proposed rulemaking or notice of inquiry to address “roaming and prioritization as it applies to applications such as [push-to-talk] and [mission-critical push-to-talk], as well as other applications that will face the same issues.”</w:t>
      </w:r>
    </w:p>
    <w:p w:rsidR="009870CE" w:rsidRDefault="009870CE" w:rsidP="009870CE">
      <w:pPr>
        <w:spacing w:before="120" w:line="480" w:lineRule="auto"/>
        <w:ind w:right="720"/>
        <w:rPr>
          <w:rFonts w:ascii="Open Sans" w:hAnsi="Open Sans" w:cs="Open Sans"/>
          <w:i/>
          <w:sz w:val="22"/>
          <w:szCs w:val="22"/>
        </w:rPr>
      </w:pPr>
      <w:r w:rsidRPr="00AA2100">
        <w:rPr>
          <w:rFonts w:ascii="Open Sans" w:hAnsi="Open Sans" w:cs="Open Sans"/>
          <w:i/>
          <w:sz w:val="22"/>
          <w:szCs w:val="22"/>
        </w:rPr>
        <w:t>BRETSA also request</w:t>
      </w:r>
      <w:r>
        <w:rPr>
          <w:rFonts w:ascii="Open Sans" w:hAnsi="Open Sans" w:cs="Open Sans"/>
          <w:i/>
          <w:sz w:val="22"/>
          <w:szCs w:val="22"/>
        </w:rPr>
        <w:t>ed</w:t>
      </w:r>
      <w:r w:rsidRPr="00AA2100">
        <w:rPr>
          <w:rFonts w:ascii="Open Sans" w:hAnsi="Open Sans" w:cs="Open Sans"/>
          <w:i/>
          <w:sz w:val="22"/>
          <w:szCs w:val="22"/>
        </w:rPr>
        <w:t xml:space="preserve"> that</w:t>
      </w:r>
      <w:r>
        <w:rPr>
          <w:rFonts w:ascii="Open Sans" w:hAnsi="Open Sans" w:cs="Open Sans"/>
          <w:i/>
          <w:sz w:val="22"/>
          <w:szCs w:val="22"/>
        </w:rPr>
        <w:t xml:space="preserve"> </w:t>
      </w:r>
      <w:r w:rsidRPr="00AA2100">
        <w:rPr>
          <w:rFonts w:ascii="Open Sans" w:hAnsi="Open Sans" w:cs="Open Sans"/>
          <w:i/>
          <w:sz w:val="22"/>
          <w:szCs w:val="22"/>
        </w:rPr>
        <w:t>the Commission address:</w:t>
      </w:r>
    </w:p>
    <w:p w:rsidR="009870CE" w:rsidRPr="00AA2100" w:rsidRDefault="009870CE" w:rsidP="009870CE">
      <w:pPr>
        <w:spacing w:before="120" w:line="480" w:lineRule="auto"/>
        <w:ind w:right="720"/>
        <w:rPr>
          <w:rFonts w:ascii="Open Sans" w:hAnsi="Open Sans" w:cs="Open Sans"/>
          <w:i/>
          <w:sz w:val="22"/>
          <w:szCs w:val="22"/>
        </w:rPr>
      </w:pPr>
      <w:r w:rsidRPr="00AA2100">
        <w:rPr>
          <w:rFonts w:ascii="Open Sans" w:hAnsi="Open Sans" w:cs="Open Sans"/>
          <w:i/>
          <w:sz w:val="22"/>
          <w:szCs w:val="22"/>
        </w:rPr>
        <w:t>a)</w:t>
      </w:r>
      <w:r w:rsidRPr="00AA2100">
        <w:rPr>
          <w:rFonts w:ascii="Open Sans" w:hAnsi="Open Sans" w:cs="Open Sans"/>
          <w:i/>
          <w:sz w:val="22"/>
          <w:szCs w:val="22"/>
        </w:rPr>
        <w:tab/>
        <w:t xml:space="preserve">The responsibility of providers other than FirstNet (i.e., providers of public safety land mobile radio (LMR) systems or services and public safety priority services offered over </w:t>
      </w:r>
      <w:bookmarkStart w:id="1" w:name="_Hlk20206065"/>
      <w:r w:rsidRPr="00AA2100">
        <w:rPr>
          <w:rFonts w:ascii="Open Sans" w:hAnsi="Open Sans" w:cs="Open Sans"/>
          <w:i/>
          <w:sz w:val="22"/>
          <w:szCs w:val="22"/>
        </w:rPr>
        <w:t xml:space="preserve">Commercial Mobile Radio Service (CMRS) </w:t>
      </w:r>
      <w:bookmarkEnd w:id="1"/>
      <w:r w:rsidRPr="00AA2100">
        <w:rPr>
          <w:rFonts w:ascii="Open Sans" w:hAnsi="Open Sans" w:cs="Open Sans"/>
          <w:i/>
          <w:sz w:val="22"/>
          <w:szCs w:val="22"/>
        </w:rPr>
        <w:t>networks) to cooperate with FirstNet in the development of interoperability solutions, and to provide full interoperability with FirstNet, LMR and other CMRS priority public safety services (subject only to technological limitations of a specific service)</w:t>
      </w:r>
    </w:p>
    <w:p w:rsidR="009870CE" w:rsidRPr="00AA2100" w:rsidRDefault="009870CE" w:rsidP="009870CE">
      <w:pPr>
        <w:spacing w:before="120" w:line="480" w:lineRule="auto"/>
        <w:ind w:right="720"/>
        <w:rPr>
          <w:rFonts w:ascii="Open Sans" w:hAnsi="Open Sans" w:cs="Open Sans"/>
          <w:i/>
          <w:sz w:val="22"/>
          <w:szCs w:val="22"/>
        </w:rPr>
      </w:pPr>
      <w:r w:rsidRPr="00AA2100">
        <w:rPr>
          <w:rFonts w:ascii="Open Sans" w:hAnsi="Open Sans" w:cs="Open Sans"/>
          <w:i/>
          <w:sz w:val="22"/>
          <w:szCs w:val="22"/>
        </w:rPr>
        <w:t>b)</w:t>
      </w:r>
      <w:r w:rsidRPr="00AA2100">
        <w:rPr>
          <w:rFonts w:ascii="Open Sans" w:hAnsi="Open Sans" w:cs="Open Sans"/>
          <w:i/>
          <w:sz w:val="22"/>
          <w:szCs w:val="22"/>
        </w:rPr>
        <w:tab/>
        <w:t>The issue of roaming and prioritization as applicable to LMR and other CMRS public safety priority services, and</w:t>
      </w:r>
    </w:p>
    <w:p w:rsidR="009870CE" w:rsidRPr="00E94EC3" w:rsidRDefault="009870CE" w:rsidP="009870CE">
      <w:pPr>
        <w:spacing w:before="120" w:line="480" w:lineRule="auto"/>
        <w:ind w:right="720"/>
        <w:rPr>
          <w:rFonts w:ascii="Open Sans" w:hAnsi="Open Sans" w:cs="Open Sans"/>
          <w:i/>
          <w:sz w:val="22"/>
          <w:szCs w:val="22"/>
        </w:rPr>
      </w:pPr>
      <w:r w:rsidRPr="00AA2100">
        <w:rPr>
          <w:rFonts w:ascii="Open Sans" w:hAnsi="Open Sans" w:cs="Open Sans"/>
          <w:i/>
          <w:sz w:val="22"/>
          <w:szCs w:val="22"/>
        </w:rPr>
        <w:t>c)</w:t>
      </w:r>
      <w:r w:rsidRPr="00AA2100">
        <w:rPr>
          <w:rFonts w:ascii="Open Sans" w:hAnsi="Open Sans" w:cs="Open Sans"/>
          <w:i/>
          <w:sz w:val="22"/>
          <w:szCs w:val="22"/>
        </w:rPr>
        <w:tab/>
        <w:t>The availability of Commission processes for dispute resolution as well as standards for dispute resolution concerning matters of interoperability, roaming and prioritization.</w:t>
      </w:r>
    </w:p>
    <w:p w:rsidR="009870CE" w:rsidRDefault="009870CE" w:rsidP="009870CE">
      <w:pPr>
        <w:spacing w:before="120" w:line="480" w:lineRule="auto"/>
        <w:ind w:right="720" w:firstLine="720"/>
        <w:rPr>
          <w:rFonts w:ascii="Open Sans" w:hAnsi="Open Sans" w:cs="Open Sans"/>
          <w:sz w:val="22"/>
          <w:szCs w:val="22"/>
        </w:rPr>
      </w:pPr>
      <w:r>
        <w:rPr>
          <w:rFonts w:ascii="Open Sans" w:hAnsi="Open Sans" w:cs="Open Sans"/>
          <w:sz w:val="22"/>
          <w:szCs w:val="22"/>
        </w:rPr>
        <w:t xml:space="preserve">The ECN also supports </w:t>
      </w:r>
      <w:r w:rsidR="00E61853">
        <w:rPr>
          <w:rFonts w:ascii="Open Sans" w:hAnsi="Open Sans" w:cs="Open Sans"/>
          <w:sz w:val="22"/>
          <w:szCs w:val="22"/>
        </w:rPr>
        <w:t xml:space="preserve">the </w:t>
      </w:r>
      <w:r>
        <w:rPr>
          <w:rFonts w:ascii="Open Sans" w:hAnsi="Open Sans" w:cs="Open Sans"/>
          <w:sz w:val="22"/>
          <w:szCs w:val="22"/>
        </w:rPr>
        <w:t xml:space="preserve">request for a notice of inquiry regarding roaming and the prioritization associated with push-to-talk and other applications.  As explained above, the ECN envisions various scenarios where interoperability among wireless broadband service providers will be required in order to effectively coordinate and respond to a critical event requiring the support of multiple agencies.  In these situations, it will likely be necessary to prioritize the most critical traffic during times of heavy network usage.  Therefore, any interoperability solutions developed between service providers must include provisions to recognize and transfer priority settings associated with individual public safety users, groups, and/or </w:t>
      </w:r>
      <w:r w:rsidRPr="00524CFC">
        <w:rPr>
          <w:rFonts w:ascii="Open Sans" w:hAnsi="Open Sans" w:cs="Open Sans"/>
          <w:sz w:val="22"/>
          <w:szCs w:val="22"/>
        </w:rPr>
        <w:t xml:space="preserve">applications.  It will also be necessary to transfer priority settings between networks under roaming situations as well.  </w:t>
      </w:r>
      <w:r>
        <w:rPr>
          <w:rFonts w:ascii="Open Sans" w:hAnsi="Open Sans" w:cs="Open Sans"/>
          <w:sz w:val="22"/>
          <w:szCs w:val="22"/>
        </w:rPr>
        <w:t xml:space="preserve">Therefore, </w:t>
      </w:r>
      <w:r w:rsidRPr="00524CFC">
        <w:rPr>
          <w:rFonts w:ascii="Open Sans" w:hAnsi="Open Sans" w:cs="Open Sans"/>
          <w:sz w:val="22"/>
          <w:szCs w:val="22"/>
        </w:rPr>
        <w:t xml:space="preserve">ECN </w:t>
      </w:r>
      <w:r w:rsidR="00E61853">
        <w:rPr>
          <w:rFonts w:ascii="Open Sans" w:hAnsi="Open Sans" w:cs="Open Sans"/>
          <w:sz w:val="22"/>
          <w:szCs w:val="22"/>
        </w:rPr>
        <w:t>believes</w:t>
      </w:r>
      <w:r w:rsidRPr="00524CFC">
        <w:rPr>
          <w:rFonts w:ascii="Open Sans" w:hAnsi="Open Sans" w:cs="Open Sans"/>
          <w:sz w:val="22"/>
          <w:szCs w:val="22"/>
        </w:rPr>
        <w:t xml:space="preserve"> that standards and agreements should be developed to facilitate the maintenance of priority settings during roaming.</w:t>
      </w:r>
    </w:p>
    <w:p w:rsidR="009870CE" w:rsidRDefault="009870CE" w:rsidP="009870CE">
      <w:pPr>
        <w:spacing w:before="120" w:line="480" w:lineRule="auto"/>
        <w:ind w:right="720" w:firstLine="720"/>
        <w:rPr>
          <w:rFonts w:ascii="Open Sans" w:hAnsi="Open Sans" w:cs="Open Sans"/>
          <w:sz w:val="22"/>
          <w:szCs w:val="22"/>
        </w:rPr>
      </w:pPr>
      <w:r>
        <w:rPr>
          <w:rFonts w:ascii="Open Sans" w:hAnsi="Open Sans" w:cs="Open Sans"/>
          <w:sz w:val="22"/>
          <w:szCs w:val="22"/>
        </w:rPr>
        <w:t xml:space="preserve">The ECN also agrees that the interoperability of mission-critical services, including push-to-talk must be addressed both with LMR manufacturers and other </w:t>
      </w:r>
      <w:r w:rsidRPr="00EC2162">
        <w:rPr>
          <w:rFonts w:ascii="Open Sans" w:hAnsi="Open Sans" w:cs="Open Sans"/>
          <w:sz w:val="22"/>
          <w:szCs w:val="22"/>
        </w:rPr>
        <w:t xml:space="preserve">Commercial Mobile Radio Service (CMRS) </w:t>
      </w:r>
      <w:r>
        <w:rPr>
          <w:rFonts w:ascii="Open Sans" w:hAnsi="Open Sans" w:cs="Open Sans"/>
          <w:sz w:val="22"/>
          <w:szCs w:val="22"/>
        </w:rPr>
        <w:t>providers.  The ECN notes that while LMR manufacturers appear to have embraced interoperability with LTE and are pursuing solutions, FirstNet and the other CMRS providers have not come to consensus on an approach.</w:t>
      </w:r>
    </w:p>
    <w:p w:rsidR="009870CE" w:rsidRDefault="009870CE" w:rsidP="009870CE">
      <w:pPr>
        <w:spacing w:before="120" w:line="480" w:lineRule="auto"/>
        <w:ind w:right="720" w:firstLine="360"/>
        <w:rPr>
          <w:rFonts w:ascii="Open Sans" w:hAnsi="Open Sans" w:cs="Open Sans"/>
          <w:sz w:val="22"/>
          <w:szCs w:val="22"/>
        </w:rPr>
      </w:pPr>
      <w:r>
        <w:rPr>
          <w:rFonts w:ascii="Open Sans" w:hAnsi="Open Sans" w:cs="Open Sans"/>
          <w:sz w:val="22"/>
          <w:szCs w:val="22"/>
        </w:rPr>
        <w:t xml:space="preserve">Finally, the ECN would also appreciate having additional information regarding the Commissions proposed processes for interoperability oversight and dispute resolution as may be necessary as various solutions and agreements develop. </w:t>
      </w:r>
    </w:p>
    <w:p w:rsidR="009870CE" w:rsidRPr="00B303F0" w:rsidRDefault="009870CE" w:rsidP="009870CE">
      <w:pPr>
        <w:pStyle w:val="ListParagraph"/>
        <w:numPr>
          <w:ilvl w:val="0"/>
          <w:numId w:val="1"/>
        </w:numPr>
        <w:spacing w:before="120" w:after="240"/>
        <w:ind w:left="360" w:right="720"/>
        <w:rPr>
          <w:rFonts w:ascii="Open Sans" w:hAnsi="Open Sans" w:cs="Open Sans"/>
          <w:b/>
        </w:rPr>
      </w:pPr>
      <w:r w:rsidRPr="00B303F0">
        <w:rPr>
          <w:rFonts w:ascii="Open Sans" w:hAnsi="Open Sans" w:cs="Open Sans"/>
          <w:b/>
        </w:rPr>
        <w:t>CONCLUSION</w:t>
      </w:r>
    </w:p>
    <w:p w:rsidR="009870CE" w:rsidRDefault="009870CE" w:rsidP="009870CE">
      <w:pPr>
        <w:spacing w:before="120" w:line="480" w:lineRule="auto"/>
        <w:ind w:right="720" w:firstLine="360"/>
        <w:rPr>
          <w:rFonts w:ascii="Open Sans" w:hAnsi="Open Sans" w:cs="Open Sans"/>
          <w:sz w:val="22"/>
          <w:szCs w:val="22"/>
        </w:rPr>
      </w:pPr>
      <w:r>
        <w:rPr>
          <w:rFonts w:ascii="Open Sans" w:hAnsi="Open Sans" w:cs="Open Sans"/>
          <w:sz w:val="22"/>
          <w:szCs w:val="22"/>
        </w:rPr>
        <w:t>The ECN appreciates the opportunity to comment on the</w:t>
      </w:r>
      <w:r w:rsidR="00E61853">
        <w:rPr>
          <w:rFonts w:ascii="Open Sans" w:hAnsi="Open Sans" w:cs="Open Sans"/>
          <w:sz w:val="22"/>
          <w:szCs w:val="22"/>
        </w:rPr>
        <w:t>se</w:t>
      </w:r>
      <w:r>
        <w:rPr>
          <w:rFonts w:ascii="Open Sans" w:hAnsi="Open Sans" w:cs="Open Sans"/>
          <w:sz w:val="22"/>
          <w:szCs w:val="22"/>
        </w:rPr>
        <w:t xml:space="preserve"> important issues.  The ECN has long been a leader in pursuing public safety communications interoperability and also in the early preparation and adoption of broadband services for public safety.  We look forward to continued discussion as well as identification of the next steps necessary to further enhance interoperability among public safety agencies and to provide all users with access to the most efficient and effective tools in support of their mission.</w:t>
      </w:r>
    </w:p>
    <w:p w:rsidR="009870CE" w:rsidRPr="00F80DB3" w:rsidRDefault="009870CE" w:rsidP="009870CE">
      <w:pPr>
        <w:rPr>
          <w:rFonts w:asciiTheme="minorHAnsi" w:hAnsiTheme="minorHAnsi" w:cstheme="minorHAnsi"/>
          <w:sz w:val="22"/>
          <w:szCs w:val="22"/>
        </w:rPr>
      </w:pPr>
    </w:p>
    <w:p w:rsidR="0072031B" w:rsidRDefault="0072031B"/>
    <w:sectPr w:rsidR="0072031B" w:rsidSect="007B6387">
      <w:footerReference w:type="default" r:id="rId7"/>
      <w:pgSz w:w="12240" w:h="15840"/>
      <w:pgMar w:top="1440" w:right="1440" w:bottom="1440" w:left="1440" w:header="720" w:footer="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0C2" w:rsidRDefault="00EC40C2" w:rsidP="007B6387">
      <w:r>
        <w:separator/>
      </w:r>
    </w:p>
  </w:endnote>
  <w:endnote w:type="continuationSeparator" w:id="0">
    <w:p w:rsidR="00EC40C2" w:rsidRDefault="00EC40C2" w:rsidP="007B6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altName w:val="MS Reference Sans Serif"/>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8500238"/>
      <w:docPartObj>
        <w:docPartGallery w:val="Page Numbers (Bottom of Page)"/>
        <w:docPartUnique/>
      </w:docPartObj>
    </w:sdtPr>
    <w:sdtEndPr>
      <w:rPr>
        <w:noProof/>
      </w:rPr>
    </w:sdtEndPr>
    <w:sdtContent>
      <w:p w:rsidR="007B6387" w:rsidRDefault="007B6387">
        <w:pPr>
          <w:pStyle w:val="Footer"/>
          <w:jc w:val="center"/>
        </w:pPr>
        <w:r>
          <w:fldChar w:fldCharType="begin"/>
        </w:r>
        <w:r>
          <w:instrText xml:space="preserve"> PAGE   \* MERGEFORMAT </w:instrText>
        </w:r>
        <w:r>
          <w:fldChar w:fldCharType="separate"/>
        </w:r>
        <w:r w:rsidR="00DF5358">
          <w:rPr>
            <w:noProof/>
          </w:rPr>
          <w:t>4</w:t>
        </w:r>
        <w:r>
          <w:rPr>
            <w:noProof/>
          </w:rPr>
          <w:fldChar w:fldCharType="end"/>
        </w:r>
      </w:p>
    </w:sdtContent>
  </w:sdt>
  <w:p w:rsidR="007B6387" w:rsidRDefault="007B63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0C2" w:rsidRDefault="00EC40C2" w:rsidP="007B6387">
      <w:r>
        <w:separator/>
      </w:r>
    </w:p>
  </w:footnote>
  <w:footnote w:type="continuationSeparator" w:id="0">
    <w:p w:rsidR="00EC40C2" w:rsidRDefault="00EC40C2" w:rsidP="007B63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585DF5"/>
    <w:multiLevelType w:val="hybridMultilevel"/>
    <w:tmpl w:val="EF6EE08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9401EF"/>
    <w:multiLevelType w:val="hybridMultilevel"/>
    <w:tmpl w:val="9CD28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0CE"/>
    <w:rsid w:val="004171BB"/>
    <w:rsid w:val="0072031B"/>
    <w:rsid w:val="007B6387"/>
    <w:rsid w:val="009870CE"/>
    <w:rsid w:val="00B33153"/>
    <w:rsid w:val="00DF5358"/>
    <w:rsid w:val="00E61853"/>
    <w:rsid w:val="00EC40C2"/>
    <w:rsid w:val="00FF61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9CF368-31BA-4AE4-9A38-83AA1C598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0C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70CE"/>
    <w:pPr>
      <w:ind w:left="720"/>
    </w:pPr>
    <w:rPr>
      <w:rFonts w:eastAsia="Calibri"/>
    </w:rPr>
  </w:style>
  <w:style w:type="table" w:styleId="TableGrid">
    <w:name w:val="Table Grid"/>
    <w:basedOn w:val="TableNormal"/>
    <w:uiPriority w:val="39"/>
    <w:rsid w:val="009870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B6387"/>
    <w:pPr>
      <w:tabs>
        <w:tab w:val="center" w:pos="4680"/>
        <w:tab w:val="right" w:pos="9360"/>
      </w:tabs>
    </w:pPr>
  </w:style>
  <w:style w:type="character" w:customStyle="1" w:styleId="HeaderChar">
    <w:name w:val="Header Char"/>
    <w:basedOn w:val="DefaultParagraphFont"/>
    <w:link w:val="Header"/>
    <w:uiPriority w:val="99"/>
    <w:rsid w:val="007B638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B6387"/>
    <w:pPr>
      <w:tabs>
        <w:tab w:val="center" w:pos="4680"/>
        <w:tab w:val="right" w:pos="9360"/>
      </w:tabs>
    </w:pPr>
  </w:style>
  <w:style w:type="character" w:customStyle="1" w:styleId="FooterChar">
    <w:name w:val="Footer Char"/>
    <w:basedOn w:val="DefaultParagraphFont"/>
    <w:link w:val="Footer"/>
    <w:uiPriority w:val="99"/>
    <w:rsid w:val="007B638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B63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63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1600</Words>
  <Characters>9124</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Burke</dc:creator>
  <cp:keywords/>
  <dc:description/>
  <cp:lastModifiedBy>Miller, Melinda (DPS)</cp:lastModifiedBy>
  <cp:revision>2</cp:revision>
  <cp:lastPrinted>2019-09-25T22:06:00Z</cp:lastPrinted>
  <dcterms:created xsi:type="dcterms:W3CDTF">2019-09-26T21:06:00Z</dcterms:created>
  <dcterms:modified xsi:type="dcterms:W3CDTF">2019-09-26T21:06:00Z</dcterms:modified>
</cp:coreProperties>
</file>