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D34" w:rsidRPr="003B49B0" w:rsidRDefault="003B49B0" w:rsidP="003B49B0">
      <w:pPr>
        <w:spacing w:after="0" w:line="240" w:lineRule="auto"/>
        <w:jc w:val="center"/>
        <w:rPr>
          <w:rFonts w:ascii="Times New Roman" w:hAnsi="Times New Roman" w:cs="Times New Roman"/>
          <w:b/>
          <w:sz w:val="24"/>
          <w:szCs w:val="24"/>
        </w:rPr>
      </w:pPr>
      <w:r w:rsidRPr="003B49B0">
        <w:rPr>
          <w:rFonts w:ascii="Times New Roman" w:hAnsi="Times New Roman" w:cs="Times New Roman"/>
          <w:b/>
          <w:sz w:val="24"/>
          <w:szCs w:val="24"/>
        </w:rPr>
        <w:t>Before the</w:t>
      </w:r>
    </w:p>
    <w:p w:rsidR="003B49B0" w:rsidRPr="003B49B0" w:rsidRDefault="003B49B0" w:rsidP="003B49B0">
      <w:pPr>
        <w:spacing w:after="0" w:line="240" w:lineRule="auto"/>
        <w:jc w:val="center"/>
        <w:rPr>
          <w:rFonts w:ascii="Times New Roman" w:hAnsi="Times New Roman" w:cs="Times New Roman"/>
          <w:b/>
          <w:sz w:val="24"/>
          <w:szCs w:val="24"/>
        </w:rPr>
      </w:pPr>
      <w:r w:rsidRPr="003B49B0">
        <w:rPr>
          <w:rFonts w:ascii="Times New Roman" w:hAnsi="Times New Roman" w:cs="Times New Roman"/>
          <w:b/>
          <w:sz w:val="24"/>
          <w:szCs w:val="24"/>
        </w:rPr>
        <w:t>FEDERAL COMMUNICATIONS COMMISSION</w:t>
      </w:r>
    </w:p>
    <w:p w:rsidR="003B49B0" w:rsidRPr="003B49B0" w:rsidRDefault="003B49B0" w:rsidP="003B49B0">
      <w:pPr>
        <w:spacing w:after="0" w:line="240" w:lineRule="auto"/>
        <w:jc w:val="center"/>
        <w:rPr>
          <w:rFonts w:ascii="Times New Roman" w:hAnsi="Times New Roman" w:cs="Times New Roman"/>
          <w:b/>
          <w:sz w:val="24"/>
          <w:szCs w:val="24"/>
        </w:rPr>
      </w:pPr>
      <w:r w:rsidRPr="003B49B0">
        <w:rPr>
          <w:rFonts w:ascii="Times New Roman" w:hAnsi="Times New Roman" w:cs="Times New Roman"/>
          <w:b/>
          <w:sz w:val="24"/>
          <w:szCs w:val="24"/>
        </w:rPr>
        <w:t>Washington D.C. 20553</w:t>
      </w:r>
    </w:p>
    <w:p w:rsidR="003B49B0" w:rsidRDefault="003B49B0">
      <w:pPr>
        <w:rPr>
          <w:rFonts w:ascii="Times New Roman" w:hAnsi="Times New Roman" w:cs="Times New Roman"/>
          <w:sz w:val="24"/>
          <w:szCs w:val="24"/>
        </w:rPr>
      </w:pPr>
    </w:p>
    <w:tbl>
      <w:tblPr>
        <w:tblW w:w="9710" w:type="dxa"/>
        <w:tblLayout w:type="fixed"/>
        <w:tblLook w:val="0000" w:firstRow="0" w:lastRow="0" w:firstColumn="0" w:lastColumn="0" w:noHBand="0" w:noVBand="0"/>
      </w:tblPr>
      <w:tblGrid>
        <w:gridCol w:w="4764"/>
        <w:gridCol w:w="638"/>
        <w:gridCol w:w="4308"/>
      </w:tblGrid>
      <w:tr w:rsidR="003B49B0" w:rsidRPr="0035185E" w:rsidTr="00074206">
        <w:trPr>
          <w:trHeight w:val="994"/>
        </w:trPr>
        <w:tc>
          <w:tcPr>
            <w:tcW w:w="4764" w:type="dxa"/>
            <w:shd w:val="clear" w:color="auto" w:fill="auto"/>
          </w:tcPr>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In the Matter of</w:t>
            </w: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Advanced Methods to Target and Eliminate</w:t>
            </w:r>
          </w:p>
          <w:p w:rsidR="003B49B0" w:rsidRPr="006267D1" w:rsidRDefault="003B49B0" w:rsidP="00074206">
            <w:pPr>
              <w:tabs>
                <w:tab w:val="center" w:pos="4680"/>
              </w:tabs>
              <w:suppressAutoHyphens/>
              <w:spacing w:after="0"/>
              <w:rPr>
                <w:rFonts w:ascii="Times New Roman" w:hAnsi="Times New Roman" w:cs="Times New Roman"/>
                <w:spacing w:val="-2"/>
                <w:sz w:val="24"/>
                <w:szCs w:val="24"/>
                <w:highlight w:val="yellow"/>
              </w:rPr>
            </w:pPr>
            <w:r w:rsidRPr="0035185E">
              <w:rPr>
                <w:rFonts w:ascii="Times New Roman" w:hAnsi="Times New Roman" w:cs="Times New Roman"/>
                <w:spacing w:val="-2"/>
                <w:sz w:val="24"/>
                <w:szCs w:val="24"/>
              </w:rPr>
              <w:t xml:space="preserve">Unlawful </w:t>
            </w:r>
            <w:proofErr w:type="spellStart"/>
            <w:r w:rsidRPr="0035185E">
              <w:rPr>
                <w:rFonts w:ascii="Times New Roman" w:hAnsi="Times New Roman" w:cs="Times New Roman"/>
                <w:spacing w:val="-2"/>
                <w:sz w:val="24"/>
                <w:szCs w:val="24"/>
              </w:rPr>
              <w:t>Robocalls</w:t>
            </w:r>
            <w:proofErr w:type="spellEnd"/>
          </w:p>
          <w:p w:rsidR="003B49B0" w:rsidRPr="0035185E" w:rsidRDefault="003B49B0" w:rsidP="00074206">
            <w:pPr>
              <w:pStyle w:val="StyleBoldCentered"/>
              <w:rPr>
                <w:rFonts w:ascii="Times New Roman" w:hAnsi="Times New Roman"/>
                <w:b w:val="0"/>
                <w:spacing w:val="-2"/>
                <w:sz w:val="24"/>
                <w:szCs w:val="24"/>
              </w:rPr>
            </w:pPr>
          </w:p>
        </w:tc>
        <w:tc>
          <w:tcPr>
            <w:tcW w:w="638" w:type="dxa"/>
            <w:shd w:val="clear" w:color="auto" w:fill="auto"/>
          </w:tcPr>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p>
        </w:tc>
        <w:tc>
          <w:tcPr>
            <w:tcW w:w="4308" w:type="dxa"/>
            <w:shd w:val="clear" w:color="auto" w:fill="auto"/>
          </w:tcPr>
          <w:p w:rsidR="003B49B0" w:rsidRPr="0035185E" w:rsidRDefault="003B49B0" w:rsidP="00074206">
            <w:pPr>
              <w:tabs>
                <w:tab w:val="center" w:pos="4680"/>
              </w:tabs>
              <w:suppressAutoHyphens/>
              <w:spacing w:after="0"/>
              <w:rPr>
                <w:rFonts w:ascii="Times New Roman" w:hAnsi="Times New Roman" w:cs="Times New Roman"/>
                <w:spacing w:val="-2"/>
                <w:sz w:val="24"/>
                <w:szCs w:val="24"/>
              </w:rPr>
            </w:pP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p>
          <w:p w:rsidR="003B49B0" w:rsidRPr="0035185E" w:rsidRDefault="003B49B0" w:rsidP="00074206">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CG Docket No. 17-59</w:t>
            </w:r>
          </w:p>
        </w:tc>
      </w:tr>
    </w:tbl>
    <w:p w:rsidR="003B49B0" w:rsidRPr="0035185E" w:rsidRDefault="003B49B0" w:rsidP="003B49B0">
      <w:pPr>
        <w:pStyle w:val="StyleBoldCentered"/>
        <w:rPr>
          <w:rFonts w:ascii="Times New Roman" w:hAnsi="Times New Roman"/>
          <w:sz w:val="24"/>
          <w:szCs w:val="24"/>
        </w:rPr>
      </w:pPr>
      <w:r w:rsidRPr="0035185E">
        <w:rPr>
          <w:rFonts w:ascii="Times New Roman" w:hAnsi="Times New Roman"/>
          <w:sz w:val="24"/>
          <w:szCs w:val="24"/>
        </w:rPr>
        <w:t>SECOND NOTICE OF INQUIRY</w:t>
      </w:r>
    </w:p>
    <w:p w:rsidR="003B49B0" w:rsidRDefault="003B49B0" w:rsidP="003B49B0">
      <w:pPr>
        <w:spacing w:after="0" w:line="240" w:lineRule="auto"/>
        <w:rPr>
          <w:rFonts w:ascii="Times New Roman" w:hAnsi="Times New Roman" w:cs="Times New Roman"/>
          <w:sz w:val="24"/>
          <w:szCs w:val="24"/>
        </w:rPr>
      </w:pPr>
    </w:p>
    <w:p w:rsidR="003B49B0" w:rsidRDefault="003B49B0" w:rsidP="003B49B0">
      <w:pPr>
        <w:spacing w:after="0" w:line="240" w:lineRule="auto"/>
        <w:rPr>
          <w:rFonts w:ascii="Times New Roman" w:hAnsi="Times New Roman" w:cs="Times New Roman"/>
          <w:b/>
          <w:sz w:val="24"/>
          <w:szCs w:val="24"/>
        </w:rPr>
      </w:pPr>
    </w:p>
    <w:p w:rsidR="003B49B0" w:rsidRDefault="003B49B0" w:rsidP="003B49B0">
      <w:pPr>
        <w:spacing w:after="0" w:line="240" w:lineRule="auto"/>
        <w:rPr>
          <w:rFonts w:ascii="Times New Roman" w:hAnsi="Times New Roman" w:cs="Times New Roman"/>
          <w:sz w:val="24"/>
          <w:szCs w:val="24"/>
        </w:rPr>
      </w:pPr>
      <w:r>
        <w:rPr>
          <w:rFonts w:ascii="Times New Roman" w:hAnsi="Times New Roman" w:cs="Times New Roman"/>
          <w:sz w:val="24"/>
          <w:szCs w:val="24"/>
        </w:rPr>
        <w:t>To: The Commission</w:t>
      </w:r>
    </w:p>
    <w:p w:rsidR="003B49B0" w:rsidRDefault="003B49B0" w:rsidP="003B49B0">
      <w:pPr>
        <w:spacing w:after="0" w:line="480" w:lineRule="auto"/>
        <w:jc w:val="center"/>
        <w:rPr>
          <w:rFonts w:ascii="Times New Roman" w:hAnsi="Times New Roman" w:cs="Times New Roman"/>
          <w:b/>
          <w:sz w:val="24"/>
          <w:szCs w:val="24"/>
        </w:rPr>
      </w:pPr>
    </w:p>
    <w:p w:rsidR="003B49B0" w:rsidRPr="00C17FEA" w:rsidRDefault="003B49B0" w:rsidP="003B49B0">
      <w:pPr>
        <w:spacing w:after="0" w:line="480" w:lineRule="auto"/>
        <w:jc w:val="center"/>
        <w:rPr>
          <w:rFonts w:ascii="Times New Roman" w:hAnsi="Times New Roman" w:cs="Times New Roman"/>
          <w:b/>
          <w:sz w:val="24"/>
          <w:szCs w:val="24"/>
        </w:rPr>
      </w:pPr>
      <w:r w:rsidRPr="00C17FEA">
        <w:rPr>
          <w:rFonts w:ascii="Times New Roman" w:hAnsi="Times New Roman" w:cs="Times New Roman"/>
          <w:b/>
          <w:sz w:val="24"/>
          <w:szCs w:val="24"/>
        </w:rPr>
        <w:t>REPLY COMMENTS OF GENESYS COMMUNICATIONS LABORATORIES, INC.</w:t>
      </w:r>
    </w:p>
    <w:p w:rsidR="003B49B0" w:rsidRPr="00C17FEA" w:rsidRDefault="003B49B0" w:rsidP="003B49B0">
      <w:pPr>
        <w:spacing w:after="0" w:line="480" w:lineRule="auto"/>
        <w:ind w:firstLine="720"/>
        <w:rPr>
          <w:rFonts w:ascii="Times New Roman" w:hAnsi="Times New Roman" w:cs="Times New Roman"/>
          <w:sz w:val="24"/>
          <w:szCs w:val="24"/>
        </w:rPr>
      </w:pP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Communications Laboratories, Inc.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welcomes and appreciates the Commission’s efforts to address the reassigned number issue outlined in the second notice of inquiry and fully supports the development of a repository for reassigned number information. If successful the repository will provide an enhanced opportunity for responsible parties to track and scrub th</w:t>
      </w:r>
      <w:r w:rsidR="00864760">
        <w:rPr>
          <w:rFonts w:ascii="Times New Roman" w:hAnsi="Times New Roman" w:cs="Times New Roman"/>
          <w:sz w:val="24"/>
          <w:szCs w:val="24"/>
        </w:rPr>
        <w:t>eir outcall databases and</w:t>
      </w:r>
      <w:bookmarkStart w:id="0" w:name="_GoBack"/>
      <w:bookmarkEnd w:id="0"/>
      <w:r w:rsidRPr="00C17FEA">
        <w:rPr>
          <w:rFonts w:ascii="Times New Roman" w:hAnsi="Times New Roman" w:cs="Times New Roman"/>
          <w:sz w:val="24"/>
          <w:szCs w:val="24"/>
        </w:rPr>
        <w:t xml:space="preserve"> comply with requirements of the TCPA, while providing a tool to hold bad actors accountable for their destructive and abusive behavior.  </w:t>
      </w:r>
    </w:p>
    <w:p w:rsidR="003B49B0" w:rsidRPr="00C17FEA" w:rsidRDefault="003B49B0" w:rsidP="003B49B0">
      <w:pPr>
        <w:spacing w:after="0" w:line="480" w:lineRule="auto"/>
        <w:ind w:firstLine="720"/>
        <w:rPr>
          <w:rFonts w:ascii="Times New Roman" w:hAnsi="Times New Roman" w:cs="Times New Roman"/>
          <w:sz w:val="24"/>
          <w:szCs w:val="24"/>
        </w:rPr>
      </w:pPr>
      <w:r w:rsidRPr="00C17FEA">
        <w:rPr>
          <w:rFonts w:ascii="Times New Roman" w:hAnsi="Times New Roman" w:cs="Times New Roman"/>
          <w:sz w:val="24"/>
          <w:szCs w:val="24"/>
        </w:rPr>
        <w:t xml:space="preserve">Since our inception in 1990,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has been a pioneer in advancing customer service. We are a leading provider of customer experience and contact center solutions. With over 3500 customers in 80 countries,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orchestrates more than 100 million customer interactions every day.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helps its </w:t>
      </w:r>
      <w:proofErr w:type="gramStart"/>
      <w:r w:rsidRPr="00C17FEA">
        <w:rPr>
          <w:rFonts w:ascii="Times New Roman" w:hAnsi="Times New Roman" w:cs="Times New Roman"/>
          <w:sz w:val="24"/>
          <w:szCs w:val="24"/>
        </w:rPr>
        <w:t>clients</w:t>
      </w:r>
      <w:proofErr w:type="gramEnd"/>
      <w:r w:rsidRPr="00C17FEA">
        <w:rPr>
          <w:rFonts w:ascii="Times New Roman" w:hAnsi="Times New Roman" w:cs="Times New Roman"/>
          <w:sz w:val="24"/>
          <w:szCs w:val="24"/>
        </w:rPr>
        <w:t xml:space="preserve"> power optimal customer experiences that deliver consistent, seamless and personalized experiences across all touch-points, channels and interactions.</w:t>
      </w:r>
    </w:p>
    <w:p w:rsidR="003B49B0" w:rsidRPr="00C17FEA" w:rsidRDefault="003B49B0" w:rsidP="003B49B0">
      <w:pPr>
        <w:spacing w:line="480" w:lineRule="auto"/>
        <w:ind w:firstLine="720"/>
        <w:rPr>
          <w:rFonts w:ascii="Times New Roman" w:hAnsi="Times New Roman" w:cs="Times New Roman"/>
          <w:sz w:val="24"/>
          <w:szCs w:val="24"/>
        </w:rPr>
      </w:pP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read with interest the comments of </w:t>
      </w:r>
      <w:proofErr w:type="spellStart"/>
      <w:r w:rsidRPr="00C17FEA">
        <w:rPr>
          <w:rFonts w:ascii="Times New Roman" w:hAnsi="Times New Roman" w:cs="Times New Roman"/>
          <w:sz w:val="24"/>
          <w:szCs w:val="24"/>
        </w:rPr>
        <w:t>Neustar</w:t>
      </w:r>
      <w:proofErr w:type="spellEnd"/>
      <w:r w:rsidRPr="00C17FEA">
        <w:rPr>
          <w:rFonts w:ascii="Times New Roman" w:hAnsi="Times New Roman" w:cs="Times New Roman"/>
          <w:sz w:val="24"/>
          <w:szCs w:val="24"/>
        </w:rPr>
        <w:t>, Inc. in which they advoca</w:t>
      </w:r>
      <w:r>
        <w:rPr>
          <w:rFonts w:ascii="Times New Roman" w:hAnsi="Times New Roman" w:cs="Times New Roman"/>
          <w:sz w:val="24"/>
          <w:szCs w:val="24"/>
        </w:rPr>
        <w:t>te for</w:t>
      </w:r>
      <w:r w:rsidRPr="00C17FEA">
        <w:rPr>
          <w:rFonts w:ascii="Times New Roman" w:hAnsi="Times New Roman" w:cs="Times New Roman"/>
          <w:sz w:val="24"/>
          <w:szCs w:val="24"/>
        </w:rPr>
        <w:t xml:space="preserve"> “robust, technologically sophisticated, and competitive commercial offering[s]… [</w:t>
      </w:r>
      <w:proofErr w:type="gramStart"/>
      <w:r w:rsidRPr="00C17FEA">
        <w:rPr>
          <w:rFonts w:ascii="Times New Roman" w:hAnsi="Times New Roman" w:cs="Times New Roman"/>
          <w:sz w:val="24"/>
          <w:szCs w:val="24"/>
        </w:rPr>
        <w:t>which</w:t>
      </w:r>
      <w:proofErr w:type="gramEnd"/>
      <w:r w:rsidRPr="00C17FEA">
        <w:rPr>
          <w:rFonts w:ascii="Times New Roman" w:hAnsi="Times New Roman" w:cs="Times New Roman"/>
          <w:sz w:val="24"/>
          <w:szCs w:val="24"/>
        </w:rPr>
        <w:t xml:space="preserve">] allow callers to mitigate the risk of calling reassigned numbers…” Indeed, </w:t>
      </w:r>
      <w:proofErr w:type="spellStart"/>
      <w:r w:rsidRPr="00C17FEA">
        <w:rPr>
          <w:rFonts w:ascii="Times New Roman" w:hAnsi="Times New Roman" w:cs="Times New Roman"/>
          <w:sz w:val="24"/>
          <w:szCs w:val="24"/>
        </w:rPr>
        <w:t>Neustar</w:t>
      </w:r>
      <w:proofErr w:type="spellEnd"/>
      <w:r w:rsidRPr="00C17FEA">
        <w:rPr>
          <w:rFonts w:ascii="Times New Roman" w:hAnsi="Times New Roman" w:cs="Times New Roman"/>
          <w:sz w:val="24"/>
          <w:szCs w:val="24"/>
        </w:rPr>
        <w:t xml:space="preserve"> purports to offer </w:t>
      </w:r>
      <w:r w:rsidRPr="00C17FEA">
        <w:rPr>
          <w:rFonts w:ascii="Times New Roman" w:hAnsi="Times New Roman" w:cs="Times New Roman"/>
          <w:sz w:val="24"/>
          <w:szCs w:val="24"/>
        </w:rPr>
        <w:lastRenderedPageBreak/>
        <w:t>such a service to many of the largest brands in the United States.</w:t>
      </w:r>
      <w:r w:rsidRPr="00C17FEA">
        <w:rPr>
          <w:rStyle w:val="FootnoteReference"/>
          <w:rFonts w:ascii="Times New Roman" w:hAnsi="Times New Roman" w:cs="Times New Roman"/>
          <w:sz w:val="24"/>
          <w:szCs w:val="24"/>
        </w:rPr>
        <w:footnoteReference w:id="1"/>
      </w:r>
      <w:r w:rsidRPr="00C17FEA">
        <w:rPr>
          <w:rFonts w:ascii="Times New Roman" w:hAnsi="Times New Roman" w:cs="Times New Roman"/>
          <w:sz w:val="24"/>
          <w:szCs w:val="24"/>
        </w:rPr>
        <w:t xml:space="preserve"> We are familiar and impressed with </w:t>
      </w:r>
      <w:proofErr w:type="spellStart"/>
      <w:r w:rsidRPr="00C17FEA">
        <w:rPr>
          <w:rFonts w:ascii="Times New Roman" w:hAnsi="Times New Roman" w:cs="Times New Roman"/>
          <w:sz w:val="24"/>
          <w:szCs w:val="24"/>
        </w:rPr>
        <w:t>Neustar’s</w:t>
      </w:r>
      <w:proofErr w:type="spellEnd"/>
      <w:r w:rsidRPr="00C17FEA">
        <w:rPr>
          <w:rFonts w:ascii="Times New Roman" w:hAnsi="Times New Roman" w:cs="Times New Roman"/>
          <w:sz w:val="24"/>
          <w:szCs w:val="24"/>
        </w:rPr>
        <w:t xml:space="preserve"> various product offerings and while we would prefer a marketplace solution to the problem of identifying reassigned numbers, merely mitigating the risk of calls to reassigned numbers does not go far enough to protect our clients against current class action and other liabilities established under the Commission’s 2015 Order. </w:t>
      </w:r>
    </w:p>
    <w:p w:rsidR="003B49B0" w:rsidRPr="00C17FEA" w:rsidRDefault="003B49B0" w:rsidP="003B49B0">
      <w:pPr>
        <w:spacing w:line="480" w:lineRule="auto"/>
        <w:ind w:firstLine="720"/>
        <w:rPr>
          <w:rFonts w:ascii="Times New Roman" w:hAnsi="Times New Roman" w:cs="Times New Roman"/>
          <w:sz w:val="24"/>
          <w:szCs w:val="24"/>
        </w:rPr>
      </w:pPr>
      <w:r w:rsidRPr="00C17FEA">
        <w:rPr>
          <w:rFonts w:ascii="Times New Roman" w:hAnsi="Times New Roman" w:cs="Times New Roman"/>
          <w:sz w:val="24"/>
          <w:szCs w:val="24"/>
        </w:rPr>
        <w:t xml:space="preserve">Similarly we welcomed the news that </w:t>
      </w:r>
      <w:proofErr w:type="spellStart"/>
      <w:r w:rsidRPr="00C17FEA">
        <w:rPr>
          <w:rFonts w:ascii="Times New Roman" w:hAnsi="Times New Roman" w:cs="Times New Roman"/>
          <w:sz w:val="24"/>
          <w:szCs w:val="24"/>
        </w:rPr>
        <w:t>Syniverse</w:t>
      </w:r>
      <w:proofErr w:type="spellEnd"/>
      <w:r w:rsidRPr="00C17FEA">
        <w:rPr>
          <w:rFonts w:ascii="Times New Roman" w:hAnsi="Times New Roman" w:cs="Times New Roman"/>
          <w:sz w:val="24"/>
          <w:szCs w:val="24"/>
        </w:rPr>
        <w:t xml:space="preserve"> Technologies offers a Number Verification Service that “enables callers to verify the customer contact information… that can ensure callers are aware of number reassignments before they make calls.” However we are confused by their later comments which seem more prospective: “[r]</w:t>
      </w:r>
      <w:proofErr w:type="spellStart"/>
      <w:r w:rsidRPr="00C17FEA">
        <w:rPr>
          <w:rFonts w:ascii="Times New Roman" w:hAnsi="Times New Roman" w:cs="Times New Roman"/>
          <w:sz w:val="24"/>
          <w:szCs w:val="24"/>
        </w:rPr>
        <w:t>elying</w:t>
      </w:r>
      <w:proofErr w:type="spellEnd"/>
      <w:r w:rsidRPr="00C17FEA">
        <w:rPr>
          <w:rFonts w:ascii="Times New Roman" w:hAnsi="Times New Roman" w:cs="Times New Roman"/>
          <w:sz w:val="24"/>
          <w:szCs w:val="24"/>
        </w:rPr>
        <w:t xml:space="preserve"> on marketplace solutions will allow companies like </w:t>
      </w:r>
      <w:proofErr w:type="spellStart"/>
      <w:r w:rsidRPr="00C17FEA">
        <w:rPr>
          <w:rFonts w:ascii="Times New Roman" w:hAnsi="Times New Roman" w:cs="Times New Roman"/>
          <w:sz w:val="24"/>
          <w:szCs w:val="24"/>
        </w:rPr>
        <w:t>Syniverse</w:t>
      </w:r>
      <w:proofErr w:type="spellEnd"/>
      <w:r w:rsidRPr="00C17FEA">
        <w:rPr>
          <w:rFonts w:ascii="Times New Roman" w:hAnsi="Times New Roman" w:cs="Times New Roman"/>
          <w:sz w:val="24"/>
          <w:szCs w:val="24"/>
        </w:rPr>
        <w:t xml:space="preserve"> to compete, innovate and improve comprehensive TCPA solutions for callers…</w:t>
      </w:r>
      <w:r w:rsidRPr="00C17FEA">
        <w:rPr>
          <w:rStyle w:val="FootnoteReference"/>
          <w:rFonts w:ascii="Times New Roman" w:hAnsi="Times New Roman" w:cs="Times New Roman"/>
          <w:sz w:val="24"/>
          <w:szCs w:val="24"/>
        </w:rPr>
        <w:footnoteReference w:id="2"/>
      </w:r>
      <w:r w:rsidRPr="00C17FEA">
        <w:rPr>
          <w:rFonts w:ascii="Times New Roman" w:hAnsi="Times New Roman" w:cs="Times New Roman"/>
          <w:sz w:val="24"/>
          <w:szCs w:val="24"/>
        </w:rPr>
        <w:t xml:space="preserve"> We follow the marketplace closely and our understanding is that the </w:t>
      </w:r>
      <w:proofErr w:type="spellStart"/>
      <w:r w:rsidRPr="00C17FEA">
        <w:rPr>
          <w:rFonts w:ascii="Times New Roman" w:hAnsi="Times New Roman" w:cs="Times New Roman"/>
          <w:sz w:val="24"/>
          <w:szCs w:val="24"/>
        </w:rPr>
        <w:t>Syniverse</w:t>
      </w:r>
      <w:proofErr w:type="spellEnd"/>
      <w:r w:rsidRPr="00C17FEA">
        <w:rPr>
          <w:rFonts w:ascii="Times New Roman" w:hAnsi="Times New Roman" w:cs="Times New Roman"/>
          <w:sz w:val="24"/>
          <w:szCs w:val="24"/>
        </w:rPr>
        <w:t xml:space="preserve"> offering does not include all mobile, landline, VOIP and toll-free number reassignments and status, and therefore does not offer a complete enough solution to protect our clients against current class action and other liabilities established under the Commission’s 2015 Order. We would love to be proven wrong in that regard.</w:t>
      </w:r>
    </w:p>
    <w:p w:rsidR="003B49B0" w:rsidRPr="00C17FEA" w:rsidRDefault="003B49B0" w:rsidP="003B49B0">
      <w:pPr>
        <w:spacing w:line="480" w:lineRule="auto"/>
        <w:ind w:firstLine="720"/>
        <w:rPr>
          <w:rFonts w:ascii="Times New Roman" w:hAnsi="Times New Roman" w:cs="Times New Roman"/>
          <w:sz w:val="24"/>
          <w:szCs w:val="24"/>
        </w:rPr>
      </w:pPr>
      <w:r w:rsidRPr="00C17FEA">
        <w:rPr>
          <w:rFonts w:ascii="Times New Roman" w:hAnsi="Times New Roman" w:cs="Times New Roman"/>
          <w:sz w:val="24"/>
          <w:szCs w:val="24"/>
        </w:rPr>
        <w:t xml:space="preserve">Further,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cautions against the sentiments expressed by Noble Systems which describe the reassigned number problem as a “relatively minor problem [and that the] problem of inadvertent calls to reassigned numbers comprises a relatively small problem that is over shadowed by the larger problem of illegal </w:t>
      </w:r>
      <w:proofErr w:type="spellStart"/>
      <w:r w:rsidRPr="00C17FEA">
        <w:rPr>
          <w:rFonts w:ascii="Times New Roman" w:hAnsi="Times New Roman" w:cs="Times New Roman"/>
          <w:sz w:val="24"/>
          <w:szCs w:val="24"/>
        </w:rPr>
        <w:t>robocalls</w:t>
      </w:r>
      <w:proofErr w:type="spellEnd"/>
      <w:r w:rsidRPr="00C17FEA">
        <w:rPr>
          <w:rFonts w:ascii="Times New Roman" w:hAnsi="Times New Roman" w:cs="Times New Roman"/>
          <w:sz w:val="24"/>
          <w:szCs w:val="24"/>
        </w:rPr>
        <w:t xml:space="preserve"> in general.”</w:t>
      </w:r>
      <w:r w:rsidRPr="00C17FEA">
        <w:rPr>
          <w:rStyle w:val="FootnoteReference"/>
          <w:rFonts w:ascii="Times New Roman" w:hAnsi="Times New Roman" w:cs="Times New Roman"/>
          <w:sz w:val="24"/>
          <w:szCs w:val="24"/>
        </w:rPr>
        <w:footnoteReference w:id="3"/>
      </w:r>
      <w:r w:rsidRPr="00C17FEA">
        <w:rPr>
          <w:rFonts w:ascii="Times New Roman" w:hAnsi="Times New Roman" w:cs="Times New Roman"/>
          <w:sz w:val="24"/>
          <w:szCs w:val="24"/>
        </w:rPr>
        <w:t xml:space="preserve"> While it may be that the </w:t>
      </w:r>
      <w:proofErr w:type="spellStart"/>
      <w:r w:rsidRPr="00C17FEA">
        <w:rPr>
          <w:rFonts w:ascii="Times New Roman" w:hAnsi="Times New Roman" w:cs="Times New Roman"/>
          <w:sz w:val="24"/>
          <w:szCs w:val="24"/>
        </w:rPr>
        <w:t>shear</w:t>
      </w:r>
      <w:proofErr w:type="spellEnd"/>
      <w:r w:rsidRPr="00C17FEA">
        <w:rPr>
          <w:rFonts w:ascii="Times New Roman" w:hAnsi="Times New Roman" w:cs="Times New Roman"/>
          <w:sz w:val="24"/>
          <w:szCs w:val="24"/>
        </w:rPr>
        <w:t xml:space="preserve"> number of illegal calls dwarfs the number of inadvertent calls, the significant </w:t>
      </w:r>
      <w:r>
        <w:rPr>
          <w:rFonts w:ascii="Times New Roman" w:hAnsi="Times New Roman" w:cs="Times New Roman"/>
          <w:sz w:val="24"/>
          <w:szCs w:val="24"/>
        </w:rPr>
        <w:t xml:space="preserve">and immediate </w:t>
      </w:r>
      <w:r w:rsidRPr="00C17FEA">
        <w:rPr>
          <w:rFonts w:ascii="Times New Roman" w:hAnsi="Times New Roman" w:cs="Times New Roman"/>
          <w:sz w:val="24"/>
          <w:szCs w:val="24"/>
        </w:rPr>
        <w:t xml:space="preserve">class action and other liability that attaches to inadvertent calls is a </w:t>
      </w:r>
      <w:r>
        <w:rPr>
          <w:rFonts w:ascii="Times New Roman" w:hAnsi="Times New Roman" w:cs="Times New Roman"/>
          <w:sz w:val="24"/>
          <w:szCs w:val="24"/>
        </w:rPr>
        <w:t xml:space="preserve">significant </w:t>
      </w:r>
      <w:r w:rsidRPr="00C17FEA">
        <w:rPr>
          <w:rFonts w:ascii="Times New Roman" w:hAnsi="Times New Roman" w:cs="Times New Roman"/>
          <w:sz w:val="24"/>
          <w:szCs w:val="24"/>
        </w:rPr>
        <w:t xml:space="preserve">problem worth </w:t>
      </w:r>
      <w:r w:rsidRPr="00C17FEA">
        <w:rPr>
          <w:rFonts w:ascii="Times New Roman" w:hAnsi="Times New Roman" w:cs="Times New Roman"/>
          <w:sz w:val="24"/>
          <w:szCs w:val="24"/>
        </w:rPr>
        <w:lastRenderedPageBreak/>
        <w:t>solving. We continue to encourage and support the Commission</w:t>
      </w:r>
      <w:r>
        <w:rPr>
          <w:rFonts w:ascii="Times New Roman" w:hAnsi="Times New Roman" w:cs="Times New Roman"/>
          <w:sz w:val="24"/>
          <w:szCs w:val="24"/>
        </w:rPr>
        <w:t>’s</w:t>
      </w:r>
      <w:r w:rsidRPr="00C17FEA">
        <w:rPr>
          <w:rFonts w:ascii="Times New Roman" w:hAnsi="Times New Roman" w:cs="Times New Roman"/>
          <w:sz w:val="24"/>
          <w:szCs w:val="24"/>
        </w:rPr>
        <w:t xml:space="preserve"> and the Federal T</w:t>
      </w:r>
      <w:r>
        <w:rPr>
          <w:rFonts w:ascii="Times New Roman" w:hAnsi="Times New Roman" w:cs="Times New Roman"/>
          <w:sz w:val="24"/>
          <w:szCs w:val="24"/>
        </w:rPr>
        <w:t xml:space="preserve">rade Commission’s </w:t>
      </w:r>
      <w:r w:rsidRPr="00C17FEA">
        <w:rPr>
          <w:rFonts w:ascii="Times New Roman" w:hAnsi="Times New Roman" w:cs="Times New Roman"/>
          <w:sz w:val="24"/>
          <w:szCs w:val="24"/>
        </w:rPr>
        <w:t xml:space="preserve">efforts to enforce against those intentionally making illegal calls.  </w:t>
      </w:r>
    </w:p>
    <w:p w:rsidR="003B49B0" w:rsidRPr="00C17FEA" w:rsidRDefault="003B49B0" w:rsidP="003B49B0">
      <w:pPr>
        <w:spacing w:after="0" w:line="480" w:lineRule="auto"/>
        <w:ind w:firstLine="720"/>
        <w:rPr>
          <w:rFonts w:ascii="Times New Roman" w:hAnsi="Times New Roman" w:cs="Times New Roman"/>
          <w:sz w:val="24"/>
          <w:szCs w:val="24"/>
        </w:rPr>
      </w:pP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agrees that a repository of reassigned numbers could be a positive step, but to be truly effective such a repository must (a) contain all active numbers, whether associated with mobile, landline, VOIP or toll-free service; (b) include information associated with each number to allow callers to reasonably be able to confirm their status; and (c) identify “numbers in transition” with additional information appended that will allow callers to identify which transitions reflect on a subscriber’s presumed consent. </w:t>
      </w:r>
    </w:p>
    <w:p w:rsidR="003B49B0" w:rsidRPr="00C17FEA" w:rsidRDefault="003B49B0" w:rsidP="003B49B0">
      <w:pPr>
        <w:spacing w:after="0" w:line="480" w:lineRule="auto"/>
        <w:ind w:firstLine="720"/>
        <w:rPr>
          <w:rFonts w:ascii="Times New Roman" w:hAnsi="Times New Roman" w:cs="Times New Roman"/>
          <w:sz w:val="24"/>
          <w:szCs w:val="24"/>
        </w:rPr>
      </w:pP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supports the creation of a single FCC-established database whether administered by a third party or not. Access to the database should not be public and should be reasonably priced, reflecting the actual cost of providing the data. </w:t>
      </w:r>
      <w:proofErr w:type="spellStart"/>
      <w:r w:rsidRPr="00C17FEA">
        <w:rPr>
          <w:rFonts w:ascii="Times New Roman" w:hAnsi="Times New Roman" w:cs="Times New Roman"/>
          <w:sz w:val="24"/>
          <w:szCs w:val="24"/>
        </w:rPr>
        <w:t>Genesys</w:t>
      </w:r>
      <w:proofErr w:type="spellEnd"/>
      <w:r w:rsidRPr="00C17FEA">
        <w:rPr>
          <w:rFonts w:ascii="Times New Roman" w:hAnsi="Times New Roman" w:cs="Times New Roman"/>
          <w:sz w:val="24"/>
          <w:szCs w:val="24"/>
        </w:rPr>
        <w:t xml:space="preserve"> agrees that subscription and use of the repository should include a presumption of good faith on the part of callers, and a safe harbor from TCPA enforcement in cases where the accuracy of the database has been relied upon by callers.  </w:t>
      </w: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 xml:space="preserve">Respectfully submitted, </w:t>
      </w:r>
    </w:p>
    <w:p w:rsidR="003B49B0" w:rsidRPr="00C17FEA" w:rsidRDefault="003B49B0" w:rsidP="003B49B0">
      <w:pPr>
        <w:spacing w:after="0" w:line="240" w:lineRule="auto"/>
        <w:rPr>
          <w:rFonts w:ascii="Times New Roman" w:hAnsi="Times New Roman" w:cs="Times New Roman"/>
          <w:sz w:val="24"/>
          <w:szCs w:val="24"/>
        </w:rPr>
      </w:pP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 xml:space="preserve">John </w:t>
      </w:r>
      <w:proofErr w:type="spellStart"/>
      <w:r w:rsidRPr="00C17FEA">
        <w:rPr>
          <w:rFonts w:ascii="Times New Roman" w:hAnsi="Times New Roman" w:cs="Times New Roman"/>
          <w:sz w:val="24"/>
          <w:szCs w:val="24"/>
        </w:rPr>
        <w:t>Tallarico</w:t>
      </w:r>
      <w:proofErr w:type="spellEnd"/>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 xml:space="preserve">Vice President, Cloud Services </w:t>
      </w: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 xml:space="preserve">2001 </w:t>
      </w:r>
      <w:proofErr w:type="spellStart"/>
      <w:r w:rsidRPr="00C17FEA">
        <w:rPr>
          <w:rFonts w:ascii="Times New Roman" w:hAnsi="Times New Roman" w:cs="Times New Roman"/>
          <w:sz w:val="24"/>
          <w:szCs w:val="24"/>
        </w:rPr>
        <w:t>Junipero</w:t>
      </w:r>
      <w:proofErr w:type="spellEnd"/>
      <w:r w:rsidRPr="00C17FEA">
        <w:rPr>
          <w:rFonts w:ascii="Times New Roman" w:hAnsi="Times New Roman" w:cs="Times New Roman"/>
          <w:sz w:val="24"/>
          <w:szCs w:val="24"/>
        </w:rPr>
        <w:t xml:space="preserve"> Serra Boulevard </w:t>
      </w: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Daly City, California 94014</w:t>
      </w: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781.897.2728 direct</w:t>
      </w: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r>
      <w:r w:rsidRPr="00C17FEA">
        <w:rPr>
          <w:rFonts w:ascii="Times New Roman" w:hAnsi="Times New Roman" w:cs="Times New Roman"/>
          <w:sz w:val="24"/>
          <w:szCs w:val="24"/>
        </w:rPr>
        <w:tab/>
        <w:t>john.tallarico@genesys.com</w:t>
      </w:r>
    </w:p>
    <w:p w:rsidR="003B49B0" w:rsidRPr="00C17FEA" w:rsidRDefault="003B49B0" w:rsidP="003B49B0">
      <w:pPr>
        <w:spacing w:after="0" w:line="240" w:lineRule="auto"/>
        <w:rPr>
          <w:rFonts w:ascii="Times New Roman" w:hAnsi="Times New Roman" w:cs="Times New Roman"/>
          <w:sz w:val="24"/>
          <w:szCs w:val="24"/>
        </w:rPr>
      </w:pPr>
    </w:p>
    <w:p w:rsidR="003B49B0" w:rsidRPr="00C17FEA" w:rsidRDefault="003B49B0" w:rsidP="003B49B0">
      <w:pPr>
        <w:spacing w:after="0" w:line="240" w:lineRule="auto"/>
        <w:rPr>
          <w:rFonts w:ascii="Times New Roman" w:hAnsi="Times New Roman" w:cs="Times New Roman"/>
          <w:sz w:val="24"/>
          <w:szCs w:val="24"/>
        </w:rPr>
      </w:pPr>
      <w:r w:rsidRPr="00C17FEA">
        <w:rPr>
          <w:rFonts w:ascii="Times New Roman" w:hAnsi="Times New Roman" w:cs="Times New Roman"/>
          <w:sz w:val="24"/>
          <w:szCs w:val="24"/>
        </w:rPr>
        <w:t>Dated: September 26, 2017</w:t>
      </w:r>
    </w:p>
    <w:p w:rsidR="003B49B0" w:rsidRPr="003B49B0" w:rsidRDefault="003B49B0">
      <w:pPr>
        <w:rPr>
          <w:rFonts w:ascii="Times New Roman" w:hAnsi="Times New Roman" w:cs="Times New Roman"/>
          <w:b/>
          <w:sz w:val="24"/>
          <w:szCs w:val="24"/>
        </w:rPr>
      </w:pPr>
    </w:p>
    <w:sectPr w:rsidR="003B49B0" w:rsidRPr="003B49B0" w:rsidSect="00107A4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EAA" w:rsidRDefault="00C41EAA" w:rsidP="003B49B0">
      <w:pPr>
        <w:spacing w:after="0" w:line="240" w:lineRule="auto"/>
      </w:pPr>
      <w:r>
        <w:separator/>
      </w:r>
    </w:p>
  </w:endnote>
  <w:endnote w:type="continuationSeparator" w:id="0">
    <w:p w:rsidR="00C41EAA" w:rsidRDefault="00C41EAA" w:rsidP="003B4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178943"/>
      <w:docPartObj>
        <w:docPartGallery w:val="Page Numbers (Bottom of Page)"/>
        <w:docPartUnique/>
      </w:docPartObj>
    </w:sdtPr>
    <w:sdtEndPr>
      <w:rPr>
        <w:noProof/>
      </w:rPr>
    </w:sdtEndPr>
    <w:sdtContent>
      <w:p w:rsidR="00107A4C" w:rsidRDefault="00107A4C">
        <w:pPr>
          <w:pStyle w:val="Footer"/>
          <w:jc w:val="center"/>
        </w:pPr>
        <w:r>
          <w:fldChar w:fldCharType="begin"/>
        </w:r>
        <w:r>
          <w:instrText xml:space="preserve"> PAGE   \* MERGEFORMAT </w:instrText>
        </w:r>
        <w:r>
          <w:fldChar w:fldCharType="separate"/>
        </w:r>
        <w:r w:rsidR="00864760">
          <w:rPr>
            <w:noProof/>
          </w:rPr>
          <w:t>1</w:t>
        </w:r>
        <w:r>
          <w:rPr>
            <w:noProof/>
          </w:rPr>
          <w:fldChar w:fldCharType="end"/>
        </w:r>
      </w:p>
    </w:sdtContent>
  </w:sdt>
  <w:p w:rsidR="00107A4C" w:rsidRDefault="00107A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EAA" w:rsidRDefault="00C41EAA" w:rsidP="003B49B0">
      <w:pPr>
        <w:spacing w:after="0" w:line="240" w:lineRule="auto"/>
      </w:pPr>
      <w:r>
        <w:separator/>
      </w:r>
    </w:p>
  </w:footnote>
  <w:footnote w:type="continuationSeparator" w:id="0">
    <w:p w:rsidR="00C41EAA" w:rsidRDefault="00C41EAA" w:rsidP="003B49B0">
      <w:pPr>
        <w:spacing w:after="0" w:line="240" w:lineRule="auto"/>
      </w:pPr>
      <w:r>
        <w:continuationSeparator/>
      </w:r>
    </w:p>
  </w:footnote>
  <w:footnote w:id="1">
    <w:p w:rsidR="003B49B0" w:rsidRDefault="003B49B0" w:rsidP="003B49B0">
      <w:pPr>
        <w:pStyle w:val="FootnoteText"/>
      </w:pPr>
      <w:r>
        <w:rPr>
          <w:rStyle w:val="FootnoteReference"/>
        </w:rPr>
        <w:footnoteRef/>
      </w:r>
      <w:r>
        <w:t xml:space="preserve"> Comments of </w:t>
      </w:r>
      <w:proofErr w:type="spellStart"/>
      <w:r>
        <w:t>Neustar</w:t>
      </w:r>
      <w:proofErr w:type="spellEnd"/>
      <w:r>
        <w:t>, Inc., GC Docket No. 17-59, filed August 28, 2017, page 2</w:t>
      </w:r>
    </w:p>
  </w:footnote>
  <w:footnote w:id="2">
    <w:p w:rsidR="003B49B0" w:rsidRDefault="003B49B0" w:rsidP="003B49B0">
      <w:pPr>
        <w:pStyle w:val="FootnoteText"/>
      </w:pPr>
      <w:r>
        <w:rPr>
          <w:rStyle w:val="FootnoteReference"/>
        </w:rPr>
        <w:footnoteRef/>
      </w:r>
      <w:r>
        <w:t xml:space="preserve"> Comments of </w:t>
      </w:r>
      <w:proofErr w:type="spellStart"/>
      <w:r>
        <w:t>Syniverse</w:t>
      </w:r>
      <w:proofErr w:type="spellEnd"/>
      <w:r>
        <w:t xml:space="preserve"> Technologies, LLC GC Docket No. 17-59, filed August 28, 2017, page 3</w:t>
      </w:r>
    </w:p>
  </w:footnote>
  <w:footnote w:id="3">
    <w:p w:rsidR="003B49B0" w:rsidRDefault="003B49B0" w:rsidP="003B49B0">
      <w:pPr>
        <w:pStyle w:val="FootnoteText"/>
      </w:pPr>
      <w:r>
        <w:rPr>
          <w:rStyle w:val="FootnoteReference"/>
        </w:rPr>
        <w:footnoteRef/>
      </w:r>
      <w:r>
        <w:t xml:space="preserve"> Comments of Noble Systems Corporation, GC Docket No. 17-59, filed August 28, 2017, page 3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9B0"/>
    <w:rsid w:val="00107A4C"/>
    <w:rsid w:val="003A3D34"/>
    <w:rsid w:val="003B49B0"/>
    <w:rsid w:val="00864760"/>
    <w:rsid w:val="009C67E4"/>
    <w:rsid w:val="00C41EAA"/>
    <w:rsid w:val="00E84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5E4B2-2861-4F11-836C-9178FA486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oldCentered">
    <w:name w:val="Style Bold Centered"/>
    <w:basedOn w:val="Normal"/>
    <w:rsid w:val="003B49B0"/>
    <w:pPr>
      <w:widowControl w:val="0"/>
      <w:spacing w:after="0" w:line="240" w:lineRule="auto"/>
      <w:jc w:val="center"/>
    </w:pPr>
    <w:rPr>
      <w:rFonts w:ascii="Times New Roman Bold" w:eastAsia="Times New Roman" w:hAnsi="Times New Roman Bold" w:cs="Times New Roman"/>
      <w:b/>
      <w:bCs/>
      <w:caps/>
      <w:snapToGrid w:val="0"/>
      <w:kern w:val="28"/>
    </w:rPr>
  </w:style>
  <w:style w:type="paragraph" w:styleId="FootnoteText">
    <w:name w:val="footnote text"/>
    <w:basedOn w:val="Normal"/>
    <w:link w:val="FootnoteTextChar"/>
    <w:uiPriority w:val="99"/>
    <w:semiHidden/>
    <w:unhideWhenUsed/>
    <w:rsid w:val="003B49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49B0"/>
    <w:rPr>
      <w:sz w:val="20"/>
      <w:szCs w:val="20"/>
    </w:rPr>
  </w:style>
  <w:style w:type="character" w:styleId="FootnoteReference">
    <w:name w:val="footnote reference"/>
    <w:basedOn w:val="DefaultParagraphFont"/>
    <w:uiPriority w:val="99"/>
    <w:semiHidden/>
    <w:unhideWhenUsed/>
    <w:rsid w:val="003B49B0"/>
    <w:rPr>
      <w:vertAlign w:val="superscript"/>
    </w:rPr>
  </w:style>
  <w:style w:type="paragraph" w:styleId="Header">
    <w:name w:val="header"/>
    <w:basedOn w:val="Normal"/>
    <w:link w:val="HeaderChar"/>
    <w:uiPriority w:val="99"/>
    <w:unhideWhenUsed/>
    <w:rsid w:val="00107A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A4C"/>
  </w:style>
  <w:style w:type="paragraph" w:styleId="Footer">
    <w:name w:val="footer"/>
    <w:basedOn w:val="Normal"/>
    <w:link w:val="FooterChar"/>
    <w:uiPriority w:val="99"/>
    <w:unhideWhenUsed/>
    <w:rsid w:val="00107A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7B4D6-BD04-411E-B1A0-A0702819E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5</cp:revision>
  <dcterms:created xsi:type="dcterms:W3CDTF">2017-09-24T16:50:00Z</dcterms:created>
  <dcterms:modified xsi:type="dcterms:W3CDTF">2017-09-26T21:21:00Z</dcterms:modified>
</cp:coreProperties>
</file>