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E690E6" w14:textId="77777777" w:rsidR="00473494" w:rsidRDefault="00473494">
      <w:pPr>
        <w:pStyle w:val="BodyText"/>
        <w:spacing w:before="10"/>
        <w:rPr>
          <w:sz w:val="10"/>
        </w:rPr>
      </w:pPr>
    </w:p>
    <w:p w14:paraId="46AA7234" w14:textId="77777777" w:rsidR="009C5008" w:rsidRDefault="00B46ED6">
      <w:pPr>
        <w:spacing w:before="64" w:line="362" w:lineRule="auto"/>
        <w:ind w:left="5387"/>
        <w:rPr>
          <w:rFonts w:ascii="Calibri"/>
          <w:sz w:val="18"/>
        </w:rPr>
      </w:pPr>
      <w:r w:rsidRPr="009C5008">
        <w:rPr>
          <w:rFonts w:ascii="Calibri"/>
          <w:noProof/>
          <w:sz w:val="18"/>
        </w:rPr>
        <mc:AlternateContent>
          <mc:Choice Requires="wps">
            <w:drawing>
              <wp:anchor distT="0" distB="0" distL="114300" distR="114300" simplePos="0" relativeHeight="503312000" behindDoc="1" locked="0" layoutInCell="1" allowOverlap="1" wp14:anchorId="517BF59A" wp14:editId="7611D7D1">
                <wp:simplePos x="0" y="0"/>
                <wp:positionH relativeFrom="page">
                  <wp:posOffset>914400</wp:posOffset>
                </wp:positionH>
                <wp:positionV relativeFrom="paragraph">
                  <wp:posOffset>1905</wp:posOffset>
                </wp:positionV>
                <wp:extent cx="712470" cy="152400"/>
                <wp:effectExtent l="0" t="1905" r="1905" b="0"/>
                <wp:wrapNone/>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B78A3" w14:textId="77777777" w:rsidR="00473494" w:rsidRDefault="0059400E">
                            <w:pPr>
                              <w:spacing w:line="240" w:lineRule="exact"/>
                              <w:rPr>
                                <w:rFonts w:ascii="Calibri"/>
                                <w:sz w:val="24"/>
                              </w:rPr>
                            </w:pPr>
                            <w:r>
                              <w:rPr>
                                <w:rFonts w:ascii="Calibri"/>
                                <w:sz w:val="24"/>
                              </w:rPr>
                              <w:t>[Type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7BF59A" id="_x0000_t202" coordsize="21600,21600" o:spt="202" path="m,l,21600r21600,l21600,xe">
                <v:stroke joinstyle="miter"/>
                <v:path gradientshapeok="t" o:connecttype="rect"/>
              </v:shapetype>
              <v:shape id="Text Box 7" o:spid="_x0000_s1026" type="#_x0000_t202" style="position:absolute;left:0;text-align:left;margin-left:1in;margin-top:.15pt;width:56.1pt;height:12pt;z-index:-4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" filled="f" stroked="f">
                <v:textbox inset="0,0,0,0">
                  <w:txbxContent>
                    <w:p w14:paraId="48BB78A3" w14:textId="77777777" w:rsidR="00473494" w:rsidRDefault="0059400E">
                      <w:pPr>
                        <w:spacing w:line="240" w:lineRule="exact"/>
                        <w:rPr>
                          <w:rFonts w:ascii="Calibri"/>
                          <w:sz w:val="24"/>
                        </w:rPr>
                      </w:pPr>
                      <w:r>
                        <w:rPr>
                          <w:rFonts w:ascii="Calibri"/>
                          <w:sz w:val="24"/>
                        </w:rPr>
                        <w:t>[Type here]</w:t>
                      </w:r>
                    </w:p>
                  </w:txbxContent>
                </v:textbox>
                <w10:wrap anchorx="page"/>
              </v:shape>
            </w:pict>
          </mc:Fallback>
        </mc:AlternateContent>
      </w:r>
      <w:r w:rsidR="0059400E" w:rsidRPr="009C5008">
        <w:rPr>
          <w:rFonts w:ascii="Calibri"/>
          <w:noProof/>
          <w:sz w:val="18"/>
        </w:rPr>
        <w:drawing>
          <wp:anchor distT="0" distB="0" distL="0" distR="0" simplePos="0" relativeHeight="1048" behindDoc="0" locked="0" layoutInCell="1" allowOverlap="1" wp14:anchorId="1B8A050A" wp14:editId="18F02049">
            <wp:simplePos x="0" y="0"/>
            <wp:positionH relativeFrom="page">
              <wp:posOffset>711708</wp:posOffset>
            </wp:positionH>
            <wp:positionV relativeFrom="paragraph">
              <wp:posOffset>-79002</wp:posOffset>
            </wp:positionV>
            <wp:extent cx="2653538" cy="81660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653538" cy="816609"/>
                    </a:xfrm>
                    <a:prstGeom prst="rect">
                      <a:avLst/>
                    </a:prstGeom>
                  </pic:spPr>
                </pic:pic>
              </a:graphicData>
            </a:graphic>
          </wp:anchor>
        </w:drawing>
      </w:r>
      <w:r w:rsidRPr="009C5008">
        <w:rPr>
          <w:rFonts w:ascii="Calibri"/>
          <w:noProof/>
          <w:sz w:val="18"/>
        </w:rPr>
        <mc:AlternateContent>
          <mc:Choice Requires="wps">
            <w:drawing>
              <wp:anchor distT="0" distB="0" distL="114300" distR="114300" simplePos="0" relativeHeight="1072" behindDoc="0" locked="0" layoutInCell="1" allowOverlap="1" wp14:anchorId="4F134737" wp14:editId="1CEC126E">
                <wp:simplePos x="0" y="0"/>
                <wp:positionH relativeFrom="page">
                  <wp:posOffset>3899535</wp:posOffset>
                </wp:positionH>
                <wp:positionV relativeFrom="paragraph">
                  <wp:posOffset>-10795</wp:posOffset>
                </wp:positionV>
                <wp:extent cx="1905" cy="680720"/>
                <wp:effectExtent l="13335" t="8255" r="13335" b="6350"/>
                <wp:wrapNone/>
                <wp:docPr id="1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680720"/>
                        </a:xfrm>
                        <a:prstGeom prst="line">
                          <a:avLst/>
                        </a:prstGeom>
                        <a:noFill/>
                        <a:ln w="6350">
                          <a:solidFill>
                            <a:srgbClr val="136C8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41549" id="Line 6" o:spid="_x0000_s1026" style="position:absolute;z-index: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07.05pt,-.85pt" to="307.2pt,5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" strokecolor="#136c87" strokeweight=".5pt">
                <w10:wrap anchorx="page"/>
              </v:line>
            </w:pict>
          </mc:Fallback>
        </mc:AlternateContent>
      </w:r>
      <w:bookmarkStart w:id="0" w:name="Binder1.pdf"/>
      <w:bookmarkStart w:id="1" w:name="5-24-2019_ex_parte"/>
      <w:bookmarkEnd w:id="0"/>
      <w:bookmarkEnd w:id="1"/>
      <w:r w:rsidR="009C5008" w:rsidRPr="009C5008">
        <w:rPr>
          <w:rFonts w:ascii="Calibri"/>
          <w:sz w:val="18"/>
        </w:rPr>
        <w:t>2550 South Clark Street</w:t>
      </w:r>
      <w:r w:rsidR="009C5008" w:rsidRPr="009C5008">
        <w:rPr>
          <w:noProof/>
        </w:rPr>
        <w:t xml:space="preserve">  </w:t>
      </w:r>
      <w:r w:rsidR="0059400E">
        <w:rPr>
          <w:rFonts w:ascii="Calibri"/>
          <w:sz w:val="18"/>
        </w:rPr>
        <w:t xml:space="preserve">| Arlington, VA 22202 </w:t>
      </w:r>
    </w:p>
    <w:p w14:paraId="7D51A6B6" w14:textId="109BDE43" w:rsidR="00473494" w:rsidRDefault="0059400E">
      <w:pPr>
        <w:spacing w:before="64" w:line="362" w:lineRule="auto"/>
        <w:ind w:left="5387"/>
        <w:rPr>
          <w:rFonts w:ascii="Calibri"/>
          <w:sz w:val="18"/>
        </w:rPr>
      </w:pPr>
      <w:r>
        <w:rPr>
          <w:rFonts w:ascii="Calibri"/>
          <w:sz w:val="18"/>
        </w:rPr>
        <w:t>202.872.0030 Phone | 202.872.1331 Fax</w:t>
      </w:r>
    </w:p>
    <w:p w14:paraId="4075882E" w14:textId="77777777" w:rsidR="00473494" w:rsidRDefault="0059400E">
      <w:pPr>
        <w:spacing w:line="214" w:lineRule="exact"/>
        <w:ind w:left="5387"/>
        <w:rPr>
          <w:rFonts w:ascii="Calibri"/>
          <w:sz w:val="18"/>
        </w:rPr>
      </w:pPr>
      <w:r>
        <w:rPr>
          <w:rFonts w:ascii="Calibri"/>
          <w:sz w:val="18"/>
        </w:rPr>
        <w:t>utc.org | networks.utc.org</w:t>
      </w:r>
    </w:p>
    <w:p w14:paraId="77F6347C" w14:textId="77777777" w:rsidR="00473494" w:rsidRDefault="00473494">
      <w:pPr>
        <w:pStyle w:val="BodyText"/>
        <w:rPr>
          <w:rFonts w:ascii="Calibri"/>
          <w:sz w:val="18"/>
        </w:rPr>
      </w:pPr>
    </w:p>
    <w:p w14:paraId="3B4868D7" w14:textId="77777777" w:rsidR="00473494" w:rsidRDefault="00473494">
      <w:pPr>
        <w:pStyle w:val="BodyText"/>
        <w:rPr>
          <w:rFonts w:ascii="Calibri"/>
          <w:sz w:val="18"/>
        </w:rPr>
      </w:pPr>
    </w:p>
    <w:p w14:paraId="42E21CE9" w14:textId="66858A47" w:rsidR="009C5008" w:rsidRDefault="00937856" w:rsidP="009C5008">
      <w:pPr>
        <w:pStyle w:val="BodyText"/>
        <w:ind w:left="4500" w:right="3787"/>
        <w:jc w:val="center"/>
      </w:pPr>
      <w:r>
        <w:t>November 1</w:t>
      </w:r>
      <w:r w:rsidR="009C5008">
        <w:t>, 2019</w:t>
      </w:r>
    </w:p>
    <w:p w14:paraId="777BE551" w14:textId="77777777" w:rsidR="009C5008" w:rsidRDefault="009C5008" w:rsidP="009C5008">
      <w:pPr>
        <w:pStyle w:val="BodyText"/>
        <w:spacing w:before="1"/>
        <w:rPr>
          <w:sz w:val="14"/>
        </w:rPr>
      </w:pPr>
    </w:p>
    <w:p w14:paraId="671949FC" w14:textId="77777777" w:rsidR="009C5008" w:rsidRDefault="009C5008" w:rsidP="009C5008">
      <w:pPr>
        <w:pStyle w:val="BodyText"/>
        <w:spacing w:before="91"/>
        <w:ind w:left="420" w:right="7561"/>
      </w:pPr>
      <w:r>
        <w:t>Ms. Marlene H. Dortch Secretary</w:t>
      </w:r>
    </w:p>
    <w:p w14:paraId="50384899" w14:textId="77777777" w:rsidR="009C5008" w:rsidRDefault="009C5008" w:rsidP="009C5008">
      <w:pPr>
        <w:pStyle w:val="BodyText"/>
        <w:tabs>
          <w:tab w:val="left" w:pos="6181"/>
        </w:tabs>
        <w:spacing w:before="5" w:line="235" w:lineRule="auto"/>
        <w:ind w:left="420" w:right="3123"/>
      </w:pPr>
      <w:r>
        <w:t>Federal</w:t>
      </w:r>
      <w:r>
        <w:rPr>
          <w:spacing w:val="-2"/>
        </w:rPr>
        <w:t xml:space="preserve"> </w:t>
      </w:r>
      <w:r>
        <w:t>Communications</w:t>
      </w:r>
      <w:r>
        <w:rPr>
          <w:spacing w:val="-3"/>
        </w:rPr>
        <w:t xml:space="preserve"> </w:t>
      </w:r>
      <w:r>
        <w:t>Commission</w:t>
      </w:r>
    </w:p>
    <w:p w14:paraId="1A45FFAF" w14:textId="77777777" w:rsidR="009C5008" w:rsidRDefault="009C5008" w:rsidP="009C5008">
      <w:pPr>
        <w:pStyle w:val="BodyText"/>
        <w:tabs>
          <w:tab w:val="left" w:pos="6181"/>
        </w:tabs>
        <w:spacing w:before="5" w:line="235" w:lineRule="auto"/>
        <w:ind w:left="420" w:right="3123"/>
      </w:pPr>
      <w:r w:rsidRPr="00C72FD8">
        <w:t>445 - 12th Street, S.W.</w:t>
      </w:r>
      <w:r>
        <w:tab/>
      </w:r>
      <w:r>
        <w:rPr>
          <w:u w:val="single"/>
        </w:rPr>
        <w:t xml:space="preserve">Ex </w:t>
      </w:r>
      <w:r>
        <w:rPr>
          <w:spacing w:val="-5"/>
          <w:u w:val="single"/>
        </w:rPr>
        <w:t>Parte</w:t>
      </w:r>
      <w:r>
        <w:rPr>
          <w:spacing w:val="-5"/>
        </w:rPr>
        <w:t xml:space="preserve"> </w:t>
      </w:r>
    </w:p>
    <w:p w14:paraId="0A6E97D9" w14:textId="77777777" w:rsidR="009C5008" w:rsidRDefault="009C5008" w:rsidP="009C5008">
      <w:pPr>
        <w:pStyle w:val="BodyText"/>
        <w:spacing w:before="2"/>
        <w:ind w:left="420"/>
      </w:pPr>
      <w:r>
        <w:t>Washington, D.C.</w:t>
      </w:r>
      <w:r>
        <w:rPr>
          <w:spacing w:val="54"/>
        </w:rPr>
        <w:t xml:space="preserve"> </w:t>
      </w:r>
      <w:r>
        <w:t>20554</w:t>
      </w:r>
    </w:p>
    <w:p w14:paraId="4FC406F2" w14:textId="77777777" w:rsidR="009C5008" w:rsidRDefault="009C5008" w:rsidP="009C5008">
      <w:pPr>
        <w:pStyle w:val="BodyText"/>
      </w:pPr>
    </w:p>
    <w:p w14:paraId="2E4B44B6" w14:textId="6A03F73C" w:rsidR="009C5008" w:rsidRDefault="009C5008" w:rsidP="009C5008">
      <w:pPr>
        <w:pStyle w:val="BodyText"/>
        <w:ind w:left="420"/>
      </w:pPr>
      <w:r>
        <w:rPr>
          <w:u w:val="single"/>
        </w:rPr>
        <w:t>Re: Notice of Ex Parte Presentation, ET Docket No. 18-295</w:t>
      </w:r>
      <w:bookmarkStart w:id="2" w:name="_GoBack"/>
      <w:bookmarkEnd w:id="2"/>
      <w:r>
        <w:rPr>
          <w:u w:val="single"/>
        </w:rPr>
        <w:t>.</w:t>
      </w:r>
    </w:p>
    <w:p w14:paraId="1897C8F2" w14:textId="77777777" w:rsidR="009C5008" w:rsidRDefault="009C5008" w:rsidP="009C5008">
      <w:pPr>
        <w:pStyle w:val="BodyText"/>
        <w:spacing w:before="1"/>
        <w:rPr>
          <w:sz w:val="14"/>
        </w:rPr>
      </w:pPr>
    </w:p>
    <w:p w14:paraId="1204A2B1" w14:textId="77777777" w:rsidR="009C5008" w:rsidRDefault="009C5008" w:rsidP="009C5008">
      <w:pPr>
        <w:pStyle w:val="BodyText"/>
        <w:spacing w:before="91"/>
        <w:ind w:left="420"/>
      </w:pPr>
      <w:r>
        <w:t>Dear Ms. Dortch:</w:t>
      </w:r>
    </w:p>
    <w:p w14:paraId="56E20B4F" w14:textId="77777777" w:rsidR="009C5008" w:rsidRDefault="009C5008" w:rsidP="009C5008">
      <w:pPr>
        <w:pStyle w:val="BodyText"/>
        <w:spacing w:before="10"/>
        <w:rPr>
          <w:sz w:val="21"/>
        </w:rPr>
      </w:pPr>
    </w:p>
    <w:p w14:paraId="38D8B994" w14:textId="43C32EDC" w:rsidR="009C5008" w:rsidRDefault="009C5008" w:rsidP="009C5008">
      <w:pPr>
        <w:pStyle w:val="BodyText"/>
        <w:ind w:left="420" w:right="316" w:firstLine="719"/>
      </w:pPr>
      <w:r>
        <w:t xml:space="preserve">The Utilities Technology Council (“UTC”) is providing the following ex parte notification in the above-referenced proceeding in accordance with Section 1.1206 of the Commission’s Rules. On </w:t>
      </w:r>
      <w:r w:rsidR="00937856">
        <w:t>October 30</w:t>
      </w:r>
      <w:r>
        <w:t xml:space="preserve">, 2019, Christina Baworowsky from Alliant Energy, </w:t>
      </w:r>
      <w:r w:rsidR="00937856">
        <w:t xml:space="preserve">Paul Zawada from American Electric Power Corporation, Lon Renner from Nebraska Public Power District, </w:t>
      </w:r>
      <w:r>
        <w:t xml:space="preserve">Doug McGinnis from RedRoseTele.com and the undersigned from the Utilities Technology Council (collectively, the “parties”) met with </w:t>
      </w:r>
      <w:r w:rsidR="00937856">
        <w:t>Erin McGrath, Wireless Advisor to Commission Michael O’Rielly t</w:t>
      </w:r>
      <w:r>
        <w:t>o discuss matters related to the above-referenced proceedings.</w:t>
      </w:r>
    </w:p>
    <w:p w14:paraId="6D544179" w14:textId="77777777" w:rsidR="009C5008" w:rsidRDefault="009C5008" w:rsidP="009C5008">
      <w:pPr>
        <w:pStyle w:val="BodyText"/>
        <w:spacing w:before="2"/>
      </w:pPr>
    </w:p>
    <w:p w14:paraId="1C3C748B" w14:textId="67EF3B3D" w:rsidR="009C5008" w:rsidRDefault="009C5008" w:rsidP="00807285">
      <w:pPr>
        <w:pStyle w:val="BodyText"/>
        <w:ind w:left="420" w:right="297" w:firstLine="719"/>
      </w:pPr>
      <w:r>
        <w:t xml:space="preserve">During the meeting, the parties </w:t>
      </w:r>
      <w:r w:rsidR="00937856">
        <w:t xml:space="preserve">described how utilities </w:t>
      </w:r>
      <w:r>
        <w:t xml:space="preserve">and other critical infrastructure industries operate extensive microwave communications systems in the 6 GHz band, which they use to support the safe, reliable and secure delivery of essential services. </w:t>
      </w:r>
      <w:r w:rsidR="00937856">
        <w:t>They explained p</w:t>
      </w:r>
      <w:r>
        <w:t>otential interference from unlicensed operations represents an unreasonable risk to the performance of these microwave systems in the 6</w:t>
      </w:r>
      <w:r>
        <w:rPr>
          <w:spacing w:val="-20"/>
        </w:rPr>
        <w:t xml:space="preserve"> </w:t>
      </w:r>
      <w:r>
        <w:t>GHz band</w:t>
      </w:r>
      <w:r w:rsidR="00937856">
        <w:t xml:space="preserve">.  They urged the Commission to </w:t>
      </w:r>
      <w:r w:rsidR="00807285" w:rsidRPr="00807285">
        <w:t xml:space="preserve">refrain from allowing unlicensed operations in the 6 GHz band, and that further field testing of the automated frequency control technology proposed to mitigate harmful interference is necessary before any such unlicensed operations should be permitted in the band. </w:t>
      </w:r>
      <w:r>
        <w:t xml:space="preserve"> </w:t>
      </w:r>
    </w:p>
    <w:p w14:paraId="5FC082E0" w14:textId="77777777" w:rsidR="00807285" w:rsidRDefault="00807285" w:rsidP="00807285">
      <w:pPr>
        <w:pStyle w:val="BodyText"/>
        <w:ind w:left="420" w:right="297" w:firstLine="719"/>
        <w:rPr>
          <w:sz w:val="20"/>
        </w:rPr>
      </w:pPr>
    </w:p>
    <w:p w14:paraId="564FBFAD" w14:textId="77777777" w:rsidR="009C5008" w:rsidRDefault="009C5008" w:rsidP="009C5008">
      <w:pPr>
        <w:pStyle w:val="BodyText"/>
        <w:ind w:left="420" w:right="339" w:firstLine="719"/>
      </w:pPr>
      <w:r>
        <w:t>Thank you for your help in this matter. If there are any questions concerning this matter, please contact the undersigned.</w:t>
      </w:r>
    </w:p>
    <w:p w14:paraId="4C793F1E" w14:textId="77777777" w:rsidR="009C5008" w:rsidRDefault="009C5008" w:rsidP="009C5008">
      <w:pPr>
        <w:pStyle w:val="BodyText"/>
        <w:spacing w:before="2"/>
        <w:rPr>
          <w:sz w:val="14"/>
        </w:rPr>
      </w:pPr>
    </w:p>
    <w:p w14:paraId="6277319F" w14:textId="77777777" w:rsidR="009C5008" w:rsidRDefault="009C5008" w:rsidP="009C5008">
      <w:pPr>
        <w:spacing w:before="90"/>
        <w:ind w:left="4478" w:right="3787"/>
        <w:jc w:val="center"/>
        <w:rPr>
          <w:sz w:val="24"/>
        </w:rPr>
      </w:pPr>
      <w:r>
        <w:rPr>
          <w:sz w:val="24"/>
        </w:rPr>
        <w:t>Respectfully,</w:t>
      </w:r>
    </w:p>
    <w:p w14:paraId="11B784CB" w14:textId="77777777" w:rsidR="009C5008" w:rsidRDefault="009C5008" w:rsidP="009C5008">
      <w:pPr>
        <w:pStyle w:val="BodyText"/>
        <w:ind w:left="4740"/>
        <w:rPr>
          <w:sz w:val="24"/>
        </w:rPr>
      </w:pPr>
      <w:r>
        <w:rPr>
          <w:noProof/>
          <w:sz w:val="20"/>
        </w:rPr>
        <w:drawing>
          <wp:inline distT="0" distB="0" distL="0" distR="0" wp14:anchorId="674118D9" wp14:editId="47633671">
            <wp:extent cx="1532340" cy="393192"/>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1532340" cy="393192"/>
                    </a:xfrm>
                    <a:prstGeom prst="rect">
                      <a:avLst/>
                    </a:prstGeom>
                  </pic:spPr>
                </pic:pic>
              </a:graphicData>
            </a:graphic>
          </wp:inline>
        </w:drawing>
      </w:r>
    </w:p>
    <w:p w14:paraId="486E2607" w14:textId="77777777" w:rsidR="009C5008" w:rsidRDefault="009C5008" w:rsidP="009C5008">
      <w:pPr>
        <w:pStyle w:val="BodyText"/>
        <w:ind w:left="4740"/>
        <w:rPr>
          <w:sz w:val="24"/>
        </w:rPr>
      </w:pPr>
      <w:r>
        <w:rPr>
          <w:sz w:val="24"/>
        </w:rPr>
        <w:t>Brett Kilbourne</w:t>
      </w:r>
    </w:p>
    <w:p w14:paraId="44B5C2EB" w14:textId="77777777" w:rsidR="009C5008" w:rsidRDefault="009C5008" w:rsidP="009C5008">
      <w:pPr>
        <w:pStyle w:val="BodyText"/>
        <w:rPr>
          <w:sz w:val="20"/>
        </w:rPr>
      </w:pPr>
    </w:p>
    <w:p w14:paraId="0C038C30" w14:textId="77777777" w:rsidR="009C5008" w:rsidRDefault="009C5008" w:rsidP="009C5008">
      <w:pPr>
        <w:pStyle w:val="BodyText"/>
        <w:spacing w:before="2"/>
        <w:rPr>
          <w:sz w:val="20"/>
        </w:rPr>
      </w:pPr>
    </w:p>
    <w:p w14:paraId="7F25C69B" w14:textId="37051292" w:rsidR="009C5008" w:rsidRDefault="009C5008" w:rsidP="009C5008">
      <w:pPr>
        <w:spacing w:before="90"/>
        <w:ind w:left="420"/>
        <w:rPr>
          <w:rFonts w:ascii="Century Gothic"/>
          <w:sz w:val="19"/>
        </w:rPr>
      </w:pPr>
      <w:r>
        <w:rPr>
          <w:sz w:val="24"/>
        </w:rPr>
        <w:t>Cc: FCC Participants</w:t>
      </w:r>
    </w:p>
    <w:sectPr w:rsidR="009C5008" w:rsidSect="00B07C2D">
      <w:pgSz w:w="12240" w:h="15840"/>
      <w:pgMar w:top="940" w:right="116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C2441" w14:textId="77777777" w:rsidR="00D9435F" w:rsidRDefault="00D9435F">
      <w:r>
        <w:separator/>
      </w:r>
    </w:p>
  </w:endnote>
  <w:endnote w:type="continuationSeparator" w:id="0">
    <w:p w14:paraId="21C2E0C8" w14:textId="77777777" w:rsidR="00D9435F" w:rsidRDefault="00D94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31CA92" w14:textId="77777777" w:rsidR="00D9435F" w:rsidRDefault="00D9435F">
      <w:r>
        <w:separator/>
      </w:r>
    </w:p>
  </w:footnote>
  <w:footnote w:type="continuationSeparator" w:id="0">
    <w:p w14:paraId="444DD6A1" w14:textId="77777777" w:rsidR="00D9435F" w:rsidRDefault="00D943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B7C38"/>
    <w:multiLevelType w:val="hybridMultilevel"/>
    <w:tmpl w:val="91E68DF8"/>
    <w:lvl w:ilvl="0" w:tplc="00C0446E">
      <w:numFmt w:val="bullet"/>
      <w:lvlText w:val="•"/>
      <w:lvlJc w:val="left"/>
      <w:pPr>
        <w:ind w:left="469" w:hanging="360"/>
      </w:pPr>
      <w:rPr>
        <w:rFonts w:ascii="Arial" w:eastAsia="Arial" w:hAnsi="Arial" w:cs="Arial" w:hint="default"/>
        <w:color w:val="007697"/>
        <w:w w:val="99"/>
        <w:sz w:val="56"/>
        <w:szCs w:val="56"/>
      </w:rPr>
    </w:lvl>
    <w:lvl w:ilvl="1" w:tplc="8F46EE94">
      <w:numFmt w:val="bullet"/>
      <w:lvlText w:val="•"/>
      <w:lvlJc w:val="left"/>
      <w:pPr>
        <w:ind w:left="1189" w:hanging="361"/>
      </w:pPr>
      <w:rPr>
        <w:rFonts w:ascii="Arial" w:eastAsia="Arial" w:hAnsi="Arial" w:cs="Arial" w:hint="default"/>
        <w:color w:val="007697"/>
        <w:w w:val="100"/>
        <w:sz w:val="48"/>
        <w:szCs w:val="48"/>
      </w:rPr>
    </w:lvl>
    <w:lvl w:ilvl="2" w:tplc="63CC02D0">
      <w:numFmt w:val="bullet"/>
      <w:lvlText w:val="•"/>
      <w:lvlJc w:val="left"/>
      <w:pPr>
        <w:ind w:left="1909" w:hanging="360"/>
      </w:pPr>
      <w:rPr>
        <w:rFonts w:ascii="Arial" w:eastAsia="Arial" w:hAnsi="Arial" w:cs="Arial" w:hint="default"/>
        <w:color w:val="007697"/>
        <w:w w:val="100"/>
        <w:sz w:val="40"/>
        <w:szCs w:val="40"/>
      </w:rPr>
    </w:lvl>
    <w:lvl w:ilvl="3" w:tplc="56C2E628">
      <w:numFmt w:val="bullet"/>
      <w:lvlText w:val="•"/>
      <w:lvlJc w:val="left"/>
      <w:pPr>
        <w:ind w:left="3190" w:hanging="360"/>
      </w:pPr>
      <w:rPr>
        <w:rFonts w:hint="default"/>
      </w:rPr>
    </w:lvl>
    <w:lvl w:ilvl="4" w:tplc="41EA1B2E">
      <w:numFmt w:val="bullet"/>
      <w:lvlText w:val="•"/>
      <w:lvlJc w:val="left"/>
      <w:pPr>
        <w:ind w:left="4480" w:hanging="360"/>
      </w:pPr>
      <w:rPr>
        <w:rFonts w:hint="default"/>
      </w:rPr>
    </w:lvl>
    <w:lvl w:ilvl="5" w:tplc="F500C2BA">
      <w:numFmt w:val="bullet"/>
      <w:lvlText w:val="•"/>
      <w:lvlJc w:val="left"/>
      <w:pPr>
        <w:ind w:left="5770" w:hanging="360"/>
      </w:pPr>
      <w:rPr>
        <w:rFonts w:hint="default"/>
      </w:rPr>
    </w:lvl>
    <w:lvl w:ilvl="6" w:tplc="00900A7E">
      <w:numFmt w:val="bullet"/>
      <w:lvlText w:val="•"/>
      <w:lvlJc w:val="left"/>
      <w:pPr>
        <w:ind w:left="7060" w:hanging="360"/>
      </w:pPr>
      <w:rPr>
        <w:rFonts w:hint="default"/>
      </w:rPr>
    </w:lvl>
    <w:lvl w:ilvl="7" w:tplc="F6665134">
      <w:numFmt w:val="bullet"/>
      <w:lvlText w:val="•"/>
      <w:lvlJc w:val="left"/>
      <w:pPr>
        <w:ind w:left="8350" w:hanging="360"/>
      </w:pPr>
      <w:rPr>
        <w:rFonts w:hint="default"/>
      </w:rPr>
    </w:lvl>
    <w:lvl w:ilvl="8" w:tplc="A944399C">
      <w:numFmt w:val="bullet"/>
      <w:lvlText w:val="•"/>
      <w:lvlJc w:val="left"/>
      <w:pPr>
        <w:ind w:left="96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94"/>
    <w:rsid w:val="00154BF3"/>
    <w:rsid w:val="001E6D13"/>
    <w:rsid w:val="003A6EB7"/>
    <w:rsid w:val="00440E56"/>
    <w:rsid w:val="00473494"/>
    <w:rsid w:val="0059400E"/>
    <w:rsid w:val="005B1F9B"/>
    <w:rsid w:val="00614352"/>
    <w:rsid w:val="00807285"/>
    <w:rsid w:val="00937856"/>
    <w:rsid w:val="009C5008"/>
    <w:rsid w:val="00A36D4D"/>
    <w:rsid w:val="00B07C2D"/>
    <w:rsid w:val="00B46ED6"/>
    <w:rsid w:val="00B81410"/>
    <w:rsid w:val="00CF7280"/>
    <w:rsid w:val="00D9435F"/>
    <w:rsid w:val="00E35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9C2C4B"/>
  <w15:docId w15:val="{D984F1E4-1801-4310-80DC-76322E07F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189" w:hanging="360"/>
    </w:pPr>
    <w:rPr>
      <w:rFonts w:ascii="Century Gothic" w:eastAsia="Century Gothic" w:hAnsi="Century Gothic" w:cs="Century Gothic"/>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07C2D"/>
    <w:pPr>
      <w:tabs>
        <w:tab w:val="center" w:pos="4680"/>
        <w:tab w:val="right" w:pos="9360"/>
      </w:tabs>
    </w:pPr>
  </w:style>
  <w:style w:type="character" w:customStyle="1" w:styleId="HeaderChar">
    <w:name w:val="Header Char"/>
    <w:basedOn w:val="DefaultParagraphFont"/>
    <w:link w:val="Header"/>
    <w:uiPriority w:val="99"/>
    <w:rsid w:val="00B07C2D"/>
    <w:rPr>
      <w:rFonts w:ascii="Times New Roman" w:eastAsia="Times New Roman" w:hAnsi="Times New Roman" w:cs="Times New Roman"/>
    </w:rPr>
  </w:style>
  <w:style w:type="paragraph" w:styleId="Footer">
    <w:name w:val="footer"/>
    <w:basedOn w:val="Normal"/>
    <w:link w:val="FooterChar"/>
    <w:uiPriority w:val="99"/>
    <w:unhideWhenUsed/>
    <w:rsid w:val="00B07C2D"/>
    <w:pPr>
      <w:tabs>
        <w:tab w:val="center" w:pos="4680"/>
        <w:tab w:val="right" w:pos="9360"/>
      </w:tabs>
    </w:pPr>
  </w:style>
  <w:style w:type="character" w:customStyle="1" w:styleId="FooterChar">
    <w:name w:val="Footer Char"/>
    <w:basedOn w:val="DefaultParagraphFont"/>
    <w:link w:val="Footer"/>
    <w:uiPriority w:val="99"/>
    <w:rsid w:val="00B07C2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Thormeyer</dc:creator>
  <cp:lastModifiedBy>Brett Kilbourne</cp:lastModifiedBy>
  <cp:revision>3</cp:revision>
  <dcterms:created xsi:type="dcterms:W3CDTF">2019-11-02T02:56:00Z</dcterms:created>
  <dcterms:modified xsi:type="dcterms:W3CDTF">2019-11-02T02:56:00Z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2019-05-24T00:00:00Z</vt:filetime>
  </property>
  <property fmtid="{D5CDD505-2E9C-101B-9397-08002B2CF9AE}" pid="3" name="Creator">
    <vt:lpwstr>Adobe Acrobat Pro DC 19.12.20034</vt:lpwstr>
  </property>
  <property fmtid="{D5CDD505-2E9C-101B-9397-08002B2CF9AE}" pid="4" name="LastSaved">
    <vt:filetime>2019-05-24T00:00:00Z</vt:filetime>
  </property>
</Properties>
</file>