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BE9" w:rsidRPr="00BE6A06" w:rsidRDefault="003D0BE9" w:rsidP="003D0BE9">
      <w:pPr>
        <w:spacing w:after="0"/>
        <w:jc w:val="center"/>
        <w:rPr>
          <w:rFonts w:ascii="Times New Roman" w:hAnsi="Times New Roman" w:cs="Times New Roman"/>
          <w:b/>
          <w:noProof/>
          <w:szCs w:val="24"/>
        </w:rPr>
      </w:pPr>
      <w:r w:rsidRPr="00BE6A06">
        <w:rPr>
          <w:rFonts w:ascii="Times New Roman" w:hAnsi="Times New Roman" w:cs="Times New Roman"/>
          <w:b/>
          <w:noProof/>
          <w:szCs w:val="24"/>
        </w:rPr>
        <w:t xml:space="preserve">Before the </w:t>
      </w:r>
    </w:p>
    <w:p w:rsidR="003D0BE9" w:rsidRPr="00BE6A06" w:rsidRDefault="003D0BE9" w:rsidP="003D0BE9">
      <w:pPr>
        <w:spacing w:after="0"/>
        <w:jc w:val="center"/>
        <w:rPr>
          <w:rFonts w:ascii="Times New Roman" w:hAnsi="Times New Roman" w:cs="Times New Roman"/>
          <w:b/>
          <w:noProof/>
          <w:szCs w:val="24"/>
        </w:rPr>
      </w:pPr>
      <w:r w:rsidRPr="00BE6A06">
        <w:rPr>
          <w:rFonts w:ascii="Times New Roman" w:hAnsi="Times New Roman" w:cs="Times New Roman"/>
          <w:b/>
          <w:noProof/>
          <w:szCs w:val="24"/>
        </w:rPr>
        <w:t>Federal Communications Commission</w:t>
      </w:r>
    </w:p>
    <w:p w:rsidR="003D0BE9" w:rsidRPr="00BE6A06" w:rsidRDefault="003D0BE9" w:rsidP="003D0BE9">
      <w:pPr>
        <w:spacing w:after="0"/>
        <w:jc w:val="center"/>
        <w:rPr>
          <w:rFonts w:ascii="Times New Roman" w:hAnsi="Times New Roman" w:cs="Times New Roman"/>
          <w:b/>
          <w:szCs w:val="24"/>
        </w:rPr>
      </w:pPr>
      <w:r w:rsidRPr="00BE6A06">
        <w:rPr>
          <w:rFonts w:ascii="Times New Roman" w:hAnsi="Times New Roman" w:cs="Times New Roman"/>
          <w:b/>
          <w:noProof/>
          <w:szCs w:val="24"/>
        </w:rPr>
        <w:t>Washington, DC 20554</w:t>
      </w:r>
    </w:p>
    <w:p w:rsidR="003D0BE9" w:rsidRDefault="003D0BE9" w:rsidP="003D0BE9">
      <w:pPr>
        <w:rPr>
          <w:rFonts w:cstheme="minorHAnsi"/>
        </w:rPr>
      </w:pPr>
    </w:p>
    <w:p w:rsidR="003D0BE9" w:rsidRPr="00120CB4" w:rsidRDefault="003D0BE9" w:rsidP="003D0BE9">
      <w:pPr>
        <w:pStyle w:val="NormalWeb"/>
        <w:shd w:val="clear" w:color="auto" w:fill="FFFFFF"/>
        <w:spacing w:after="0" w:line="255" w:lineRule="atLeast"/>
        <w:rPr>
          <w:sz w:val="22"/>
          <w:szCs w:val="22"/>
        </w:rPr>
      </w:pPr>
      <w:r w:rsidRPr="00120CB4">
        <w:rPr>
          <w:sz w:val="22"/>
          <w:szCs w:val="22"/>
        </w:rPr>
        <w:t>In the Matter of</w:t>
      </w:r>
      <w:r w:rsidRPr="00120CB4">
        <w:rPr>
          <w:sz w:val="22"/>
          <w:szCs w:val="22"/>
        </w:rPr>
        <w:tab/>
      </w:r>
      <w:r w:rsidRPr="00120CB4">
        <w:rPr>
          <w:sz w:val="22"/>
          <w:szCs w:val="22"/>
        </w:rPr>
        <w:tab/>
      </w:r>
      <w:r w:rsidRPr="00120CB4">
        <w:rPr>
          <w:sz w:val="22"/>
          <w:szCs w:val="22"/>
        </w:rPr>
        <w:tab/>
      </w:r>
      <w:r w:rsidRPr="00120CB4">
        <w:rPr>
          <w:sz w:val="22"/>
          <w:szCs w:val="22"/>
        </w:rPr>
        <w:tab/>
      </w:r>
      <w:r w:rsidRPr="00120CB4">
        <w:rPr>
          <w:sz w:val="22"/>
          <w:szCs w:val="22"/>
        </w:rPr>
        <w:tab/>
        <w:t>)</w:t>
      </w:r>
    </w:p>
    <w:p w:rsidR="003D0BE9" w:rsidRPr="00120CB4" w:rsidRDefault="003D0BE9" w:rsidP="003D0BE9">
      <w:pPr>
        <w:pStyle w:val="NormalWeb"/>
        <w:shd w:val="clear" w:color="auto" w:fill="FFFFFF"/>
        <w:spacing w:after="0" w:line="255" w:lineRule="atLeast"/>
        <w:rPr>
          <w:sz w:val="22"/>
          <w:szCs w:val="22"/>
        </w:rPr>
      </w:pPr>
      <w:r w:rsidRPr="00120CB4">
        <w:rPr>
          <w:sz w:val="22"/>
          <w:szCs w:val="22"/>
        </w:rPr>
        <w:tab/>
      </w:r>
      <w:r w:rsidRPr="00120CB4">
        <w:rPr>
          <w:sz w:val="22"/>
          <w:szCs w:val="22"/>
        </w:rPr>
        <w:tab/>
      </w:r>
      <w:r w:rsidRPr="00120CB4">
        <w:rPr>
          <w:sz w:val="22"/>
          <w:szCs w:val="22"/>
        </w:rPr>
        <w:tab/>
      </w:r>
      <w:r w:rsidRPr="00120CB4">
        <w:rPr>
          <w:sz w:val="22"/>
          <w:szCs w:val="22"/>
        </w:rPr>
        <w:tab/>
      </w:r>
      <w:r w:rsidRPr="00120CB4">
        <w:rPr>
          <w:sz w:val="22"/>
          <w:szCs w:val="22"/>
        </w:rPr>
        <w:tab/>
      </w:r>
      <w:r w:rsidRPr="00120CB4">
        <w:rPr>
          <w:sz w:val="22"/>
          <w:szCs w:val="22"/>
        </w:rPr>
        <w:tab/>
        <w:t>)</w:t>
      </w:r>
    </w:p>
    <w:p w:rsidR="003D0BE9" w:rsidRPr="00120CB4" w:rsidRDefault="003D0BE9" w:rsidP="003D0BE9">
      <w:pPr>
        <w:pStyle w:val="NormalWeb"/>
        <w:shd w:val="clear" w:color="auto" w:fill="FFFFFF"/>
        <w:spacing w:after="0" w:line="255" w:lineRule="atLeast"/>
        <w:rPr>
          <w:sz w:val="22"/>
          <w:szCs w:val="22"/>
        </w:rPr>
      </w:pPr>
      <w:r w:rsidRPr="00120CB4">
        <w:rPr>
          <w:sz w:val="22"/>
          <w:szCs w:val="22"/>
        </w:rPr>
        <w:t>Schools and Libraries</w:t>
      </w:r>
      <w:r w:rsidRPr="00120CB4">
        <w:rPr>
          <w:sz w:val="22"/>
          <w:szCs w:val="22"/>
        </w:rPr>
        <w:tab/>
      </w:r>
      <w:r w:rsidRPr="00120CB4">
        <w:rPr>
          <w:sz w:val="22"/>
          <w:szCs w:val="22"/>
        </w:rPr>
        <w:tab/>
      </w:r>
      <w:r w:rsidRPr="00120CB4">
        <w:rPr>
          <w:sz w:val="22"/>
          <w:szCs w:val="22"/>
        </w:rPr>
        <w:tab/>
      </w:r>
      <w:r w:rsidRPr="00120CB4">
        <w:rPr>
          <w:sz w:val="22"/>
          <w:szCs w:val="22"/>
        </w:rPr>
        <w:tab/>
        <w:t>)</w:t>
      </w:r>
      <w:r w:rsidRPr="00120CB4">
        <w:rPr>
          <w:sz w:val="22"/>
          <w:szCs w:val="22"/>
        </w:rPr>
        <w:tab/>
      </w:r>
      <w:r w:rsidRPr="00120CB4">
        <w:rPr>
          <w:sz w:val="22"/>
          <w:szCs w:val="22"/>
        </w:rPr>
        <w:tab/>
        <w:t>CC Docket No. 02-6</w:t>
      </w:r>
    </w:p>
    <w:p w:rsidR="003D0BE9" w:rsidRPr="00120CB4" w:rsidRDefault="003D0BE9" w:rsidP="003D0BE9">
      <w:pPr>
        <w:pStyle w:val="NormalWeb"/>
        <w:shd w:val="clear" w:color="auto" w:fill="FFFFFF"/>
        <w:spacing w:after="0" w:line="255" w:lineRule="atLeast"/>
        <w:rPr>
          <w:sz w:val="22"/>
          <w:szCs w:val="22"/>
        </w:rPr>
      </w:pPr>
      <w:r w:rsidRPr="00120CB4">
        <w:rPr>
          <w:sz w:val="22"/>
          <w:szCs w:val="22"/>
        </w:rPr>
        <w:t>Universal Service Support Mechanism</w:t>
      </w:r>
      <w:r w:rsidRPr="00120CB4">
        <w:rPr>
          <w:sz w:val="22"/>
          <w:szCs w:val="22"/>
        </w:rPr>
        <w:tab/>
      </w:r>
      <w:r w:rsidRPr="00120CB4">
        <w:rPr>
          <w:sz w:val="22"/>
          <w:szCs w:val="22"/>
        </w:rPr>
        <w:tab/>
        <w:t>)</w:t>
      </w:r>
    </w:p>
    <w:p w:rsidR="003D0BE9" w:rsidRPr="00120CB4" w:rsidRDefault="003D0BE9" w:rsidP="003D0BE9">
      <w:pPr>
        <w:pStyle w:val="NormalWeb"/>
        <w:shd w:val="clear" w:color="auto" w:fill="FFFFFF"/>
        <w:spacing w:after="0" w:line="255" w:lineRule="atLeast"/>
        <w:rPr>
          <w:sz w:val="22"/>
          <w:szCs w:val="22"/>
        </w:rPr>
      </w:pPr>
      <w:r w:rsidRPr="00120CB4">
        <w:rPr>
          <w:sz w:val="22"/>
          <w:szCs w:val="22"/>
        </w:rPr>
        <w:tab/>
      </w:r>
      <w:r w:rsidRPr="00120CB4">
        <w:rPr>
          <w:sz w:val="22"/>
          <w:szCs w:val="22"/>
        </w:rPr>
        <w:tab/>
      </w:r>
      <w:r w:rsidRPr="00120CB4">
        <w:rPr>
          <w:sz w:val="22"/>
          <w:szCs w:val="22"/>
        </w:rPr>
        <w:tab/>
      </w:r>
      <w:r w:rsidRPr="00120CB4">
        <w:rPr>
          <w:sz w:val="22"/>
          <w:szCs w:val="22"/>
        </w:rPr>
        <w:tab/>
      </w:r>
      <w:r w:rsidRPr="00120CB4">
        <w:rPr>
          <w:sz w:val="22"/>
          <w:szCs w:val="22"/>
        </w:rPr>
        <w:tab/>
      </w:r>
      <w:r w:rsidRPr="00120CB4">
        <w:rPr>
          <w:sz w:val="22"/>
          <w:szCs w:val="22"/>
        </w:rPr>
        <w:tab/>
        <w:t>)</w:t>
      </w:r>
    </w:p>
    <w:p w:rsidR="003D0BE9" w:rsidRPr="00120CB4" w:rsidRDefault="003D0BE9" w:rsidP="003D0BE9">
      <w:pPr>
        <w:pStyle w:val="NormalWeb"/>
        <w:shd w:val="clear" w:color="auto" w:fill="FFFFFF"/>
        <w:spacing w:after="0" w:line="255" w:lineRule="atLeast"/>
        <w:rPr>
          <w:sz w:val="22"/>
          <w:szCs w:val="22"/>
        </w:rPr>
      </w:pPr>
      <w:r w:rsidRPr="00120CB4">
        <w:rPr>
          <w:sz w:val="22"/>
          <w:szCs w:val="22"/>
        </w:rPr>
        <w:t>Request for Waiver</w:t>
      </w:r>
      <w:r w:rsidRPr="00120CB4">
        <w:rPr>
          <w:sz w:val="22"/>
          <w:szCs w:val="22"/>
        </w:rPr>
        <w:tab/>
      </w:r>
      <w:r w:rsidRPr="00120CB4">
        <w:rPr>
          <w:sz w:val="22"/>
          <w:szCs w:val="22"/>
        </w:rPr>
        <w:tab/>
      </w:r>
      <w:r w:rsidRPr="00120CB4">
        <w:rPr>
          <w:sz w:val="22"/>
          <w:szCs w:val="22"/>
        </w:rPr>
        <w:tab/>
      </w:r>
      <w:r w:rsidRPr="00120CB4">
        <w:rPr>
          <w:sz w:val="22"/>
          <w:szCs w:val="22"/>
        </w:rPr>
        <w:tab/>
        <w:t>)</w:t>
      </w:r>
      <w:r w:rsidRPr="00120CB4">
        <w:rPr>
          <w:sz w:val="22"/>
          <w:szCs w:val="22"/>
        </w:rPr>
        <w:tab/>
      </w:r>
      <w:r w:rsidRPr="00120CB4">
        <w:rPr>
          <w:sz w:val="22"/>
          <w:szCs w:val="22"/>
        </w:rPr>
        <w:tab/>
        <w:t xml:space="preserve">Application No. </w:t>
      </w:r>
      <w:r>
        <w:rPr>
          <w:sz w:val="22"/>
          <w:szCs w:val="22"/>
        </w:rPr>
        <w:t>181039680</w:t>
      </w:r>
    </w:p>
    <w:p w:rsidR="003D0BE9" w:rsidRPr="00120CB4" w:rsidRDefault="003D0BE9" w:rsidP="003D0BE9">
      <w:pPr>
        <w:pStyle w:val="NormalWeb"/>
        <w:shd w:val="clear" w:color="auto" w:fill="FFFFFF"/>
        <w:spacing w:after="0" w:line="255" w:lineRule="atLeast"/>
        <w:rPr>
          <w:sz w:val="22"/>
          <w:szCs w:val="22"/>
        </w:rPr>
      </w:pPr>
      <w:r w:rsidRPr="00120CB4">
        <w:rPr>
          <w:sz w:val="22"/>
          <w:szCs w:val="22"/>
        </w:rPr>
        <w:t xml:space="preserve">By </w:t>
      </w:r>
      <w:proofErr w:type="spellStart"/>
      <w:r>
        <w:rPr>
          <w:sz w:val="22"/>
          <w:szCs w:val="22"/>
        </w:rPr>
        <w:t>NetXV</w:t>
      </w:r>
      <w:proofErr w:type="spellEnd"/>
      <w:r>
        <w:rPr>
          <w:sz w:val="22"/>
          <w:szCs w:val="22"/>
        </w:rPr>
        <w:t xml:space="preserve"> (BEN: 221711)</w:t>
      </w:r>
      <w:r>
        <w:rPr>
          <w:sz w:val="22"/>
          <w:szCs w:val="22"/>
        </w:rPr>
        <w:tab/>
      </w:r>
      <w:r>
        <w:rPr>
          <w:sz w:val="22"/>
          <w:szCs w:val="22"/>
        </w:rPr>
        <w:tab/>
      </w:r>
      <w:r w:rsidRPr="00120CB4">
        <w:rPr>
          <w:sz w:val="22"/>
          <w:szCs w:val="22"/>
        </w:rPr>
        <w:tab/>
        <w:t>)</w:t>
      </w:r>
      <w:r w:rsidRPr="00120CB4">
        <w:rPr>
          <w:sz w:val="22"/>
          <w:szCs w:val="22"/>
        </w:rPr>
        <w:tab/>
      </w:r>
      <w:r w:rsidRPr="00120CB4">
        <w:rPr>
          <w:sz w:val="22"/>
          <w:szCs w:val="22"/>
        </w:rPr>
        <w:tab/>
      </w:r>
    </w:p>
    <w:p w:rsidR="003D0BE9" w:rsidRDefault="003D0BE9" w:rsidP="003D0BE9">
      <w:pPr>
        <w:pStyle w:val="NormalWeb"/>
        <w:shd w:val="clear" w:color="auto" w:fill="FFFFFF"/>
        <w:spacing w:line="255" w:lineRule="atLeast"/>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w:t>
      </w:r>
    </w:p>
    <w:p w:rsidR="003D0BE9" w:rsidRPr="00120CB4" w:rsidRDefault="003D0BE9" w:rsidP="003D0BE9">
      <w:pPr>
        <w:pStyle w:val="NormalWeb"/>
        <w:shd w:val="clear" w:color="auto" w:fill="FFFFFF"/>
        <w:spacing w:line="255" w:lineRule="atLeast"/>
        <w:rPr>
          <w:sz w:val="22"/>
          <w:szCs w:val="22"/>
        </w:rPr>
      </w:pPr>
    </w:p>
    <w:p w:rsidR="003D0BE9" w:rsidRPr="00120CB4" w:rsidRDefault="003D0BE9" w:rsidP="003D0BE9">
      <w:pPr>
        <w:pStyle w:val="NormalWeb"/>
        <w:shd w:val="clear" w:color="auto" w:fill="FFFFFF"/>
        <w:spacing w:line="255" w:lineRule="atLeast"/>
        <w:rPr>
          <w:b/>
          <w:sz w:val="22"/>
          <w:szCs w:val="22"/>
        </w:rPr>
      </w:pPr>
      <w:r w:rsidRPr="00120CB4">
        <w:rPr>
          <w:b/>
          <w:sz w:val="22"/>
          <w:szCs w:val="22"/>
        </w:rPr>
        <w:tab/>
      </w:r>
      <w:r w:rsidRPr="00120CB4">
        <w:rPr>
          <w:b/>
          <w:sz w:val="22"/>
          <w:szCs w:val="22"/>
        </w:rPr>
        <w:tab/>
      </w:r>
      <w:r w:rsidRPr="00120CB4">
        <w:rPr>
          <w:b/>
          <w:sz w:val="22"/>
          <w:szCs w:val="22"/>
        </w:rPr>
        <w:tab/>
      </w:r>
      <w:r w:rsidRPr="00120CB4">
        <w:rPr>
          <w:b/>
          <w:sz w:val="22"/>
          <w:szCs w:val="22"/>
        </w:rPr>
        <w:tab/>
      </w:r>
      <w:r w:rsidRPr="00120CB4">
        <w:rPr>
          <w:b/>
          <w:sz w:val="22"/>
          <w:szCs w:val="22"/>
        </w:rPr>
        <w:tab/>
        <w:t>Request for Waiver</w:t>
      </w:r>
    </w:p>
    <w:p w:rsidR="005B4B36" w:rsidRDefault="005B4B36" w:rsidP="003D0BE9">
      <w:pPr>
        <w:pStyle w:val="NormalWeb"/>
        <w:shd w:val="clear" w:color="auto" w:fill="FFFFFF"/>
        <w:spacing w:line="360" w:lineRule="auto"/>
        <w:rPr>
          <w:sz w:val="22"/>
          <w:szCs w:val="22"/>
        </w:rPr>
      </w:pPr>
    </w:p>
    <w:p w:rsidR="003D0BE9" w:rsidRPr="00120CB4" w:rsidRDefault="003D0BE9" w:rsidP="003D0BE9">
      <w:pPr>
        <w:pStyle w:val="NormalWeb"/>
        <w:shd w:val="clear" w:color="auto" w:fill="FFFFFF"/>
        <w:spacing w:line="360" w:lineRule="auto"/>
        <w:rPr>
          <w:sz w:val="22"/>
          <w:szCs w:val="22"/>
        </w:rPr>
      </w:pPr>
      <w:proofErr w:type="spellStart"/>
      <w:r>
        <w:rPr>
          <w:sz w:val="22"/>
          <w:szCs w:val="22"/>
        </w:rPr>
        <w:t>NetXV</w:t>
      </w:r>
      <w:proofErr w:type="spellEnd"/>
      <w:r>
        <w:rPr>
          <w:sz w:val="22"/>
          <w:szCs w:val="22"/>
        </w:rPr>
        <w:t xml:space="preserve"> (BEN: 221711) respectfully requests that the Wireline Competition Bureau (Bureau) waive the invoice deadlines detailed in the table below. </w:t>
      </w:r>
      <w:r w:rsidRPr="00120CB4">
        <w:rPr>
          <w:sz w:val="22"/>
          <w:szCs w:val="22"/>
        </w:rPr>
        <w:t xml:space="preserve">We are writing to appeal the denial of </w:t>
      </w:r>
      <w:r>
        <w:rPr>
          <w:sz w:val="22"/>
          <w:szCs w:val="22"/>
        </w:rPr>
        <w:t>invoice deadline extensions requested on November 4, 2019.</w:t>
      </w:r>
      <w:r w:rsidRPr="00120CB4">
        <w:rPr>
          <w:rStyle w:val="FootnoteReference"/>
          <w:sz w:val="22"/>
          <w:szCs w:val="22"/>
        </w:rPr>
        <w:footnoteReference w:id="1"/>
      </w:r>
      <w:r w:rsidRPr="00120CB4">
        <w:rPr>
          <w:sz w:val="22"/>
          <w:szCs w:val="22"/>
        </w:rPr>
        <w:t xml:space="preserve"> </w:t>
      </w:r>
    </w:p>
    <w:tbl>
      <w:tblPr>
        <w:tblStyle w:val="TableGrid"/>
        <w:tblW w:w="0" w:type="auto"/>
        <w:jc w:val="center"/>
        <w:tblLook w:val="04A0" w:firstRow="1" w:lastRow="0" w:firstColumn="1" w:lastColumn="0" w:noHBand="0" w:noVBand="1"/>
      </w:tblPr>
      <w:tblGrid>
        <w:gridCol w:w="1806"/>
        <w:gridCol w:w="1708"/>
        <w:gridCol w:w="1602"/>
        <w:gridCol w:w="1602"/>
        <w:gridCol w:w="1316"/>
        <w:gridCol w:w="1316"/>
      </w:tblGrid>
      <w:tr w:rsidR="003D0BE9" w:rsidRPr="00120CB4" w:rsidTr="003D0BE9">
        <w:trPr>
          <w:jc w:val="center"/>
        </w:trPr>
        <w:tc>
          <w:tcPr>
            <w:tcW w:w="1907" w:type="dxa"/>
          </w:tcPr>
          <w:p w:rsidR="003D0BE9" w:rsidRPr="00120CB4" w:rsidRDefault="003D0BE9" w:rsidP="003D0BE9">
            <w:pPr>
              <w:pStyle w:val="NormalWeb"/>
              <w:spacing w:after="0"/>
              <w:rPr>
                <w:b/>
                <w:sz w:val="22"/>
                <w:szCs w:val="22"/>
              </w:rPr>
            </w:pPr>
            <w:r w:rsidRPr="00120CB4">
              <w:rPr>
                <w:b/>
                <w:sz w:val="22"/>
                <w:szCs w:val="22"/>
              </w:rPr>
              <w:t xml:space="preserve">Form 471 </w:t>
            </w:r>
          </w:p>
        </w:tc>
        <w:tc>
          <w:tcPr>
            <w:tcW w:w="1759" w:type="dxa"/>
          </w:tcPr>
          <w:p w:rsidR="003D0BE9" w:rsidRPr="007B34B2" w:rsidRDefault="003D0BE9" w:rsidP="003D0BE9">
            <w:pPr>
              <w:pStyle w:val="NormalWeb"/>
              <w:spacing w:after="0"/>
              <w:rPr>
                <w:sz w:val="22"/>
                <w:szCs w:val="22"/>
              </w:rPr>
            </w:pPr>
            <w:r w:rsidRPr="007B34B2">
              <w:rPr>
                <w:sz w:val="22"/>
                <w:szCs w:val="22"/>
              </w:rPr>
              <w:t>181039680</w:t>
            </w:r>
          </w:p>
        </w:tc>
        <w:tc>
          <w:tcPr>
            <w:tcW w:w="1639" w:type="dxa"/>
          </w:tcPr>
          <w:p w:rsidR="003D0BE9" w:rsidRPr="007B34B2" w:rsidRDefault="003D0BE9" w:rsidP="003D0BE9">
            <w:pPr>
              <w:rPr>
                <w:rFonts w:ascii="Times New Roman" w:hAnsi="Times New Roman" w:cs="Times New Roman"/>
              </w:rPr>
            </w:pPr>
            <w:r w:rsidRPr="007B34B2">
              <w:rPr>
                <w:rFonts w:ascii="Times New Roman" w:hAnsi="Times New Roman" w:cs="Times New Roman"/>
              </w:rPr>
              <w:t>181039680</w:t>
            </w:r>
          </w:p>
        </w:tc>
        <w:tc>
          <w:tcPr>
            <w:tcW w:w="1639" w:type="dxa"/>
          </w:tcPr>
          <w:p w:rsidR="003D0BE9" w:rsidRPr="007B34B2" w:rsidRDefault="003D0BE9" w:rsidP="003D0BE9">
            <w:pPr>
              <w:rPr>
                <w:rFonts w:ascii="Times New Roman" w:hAnsi="Times New Roman" w:cs="Times New Roman"/>
              </w:rPr>
            </w:pPr>
            <w:r w:rsidRPr="007B34B2">
              <w:rPr>
                <w:rFonts w:ascii="Times New Roman" w:hAnsi="Times New Roman" w:cs="Times New Roman"/>
              </w:rPr>
              <w:t>181039680</w:t>
            </w:r>
          </w:p>
        </w:tc>
        <w:tc>
          <w:tcPr>
            <w:tcW w:w="1316" w:type="dxa"/>
          </w:tcPr>
          <w:p w:rsidR="003D0BE9" w:rsidRPr="007B34B2" w:rsidRDefault="003D0BE9" w:rsidP="003D0BE9">
            <w:pPr>
              <w:rPr>
                <w:rFonts w:ascii="Times New Roman" w:hAnsi="Times New Roman" w:cs="Times New Roman"/>
              </w:rPr>
            </w:pPr>
            <w:r w:rsidRPr="007B34B2">
              <w:rPr>
                <w:rFonts w:ascii="Times New Roman" w:hAnsi="Times New Roman" w:cs="Times New Roman"/>
              </w:rPr>
              <w:t>181039680</w:t>
            </w:r>
          </w:p>
        </w:tc>
        <w:tc>
          <w:tcPr>
            <w:tcW w:w="1316" w:type="dxa"/>
          </w:tcPr>
          <w:p w:rsidR="003D0BE9" w:rsidRPr="007B34B2" w:rsidRDefault="003D0BE9" w:rsidP="003D0BE9">
            <w:pPr>
              <w:rPr>
                <w:rFonts w:ascii="Times New Roman" w:hAnsi="Times New Roman" w:cs="Times New Roman"/>
              </w:rPr>
            </w:pPr>
            <w:r w:rsidRPr="007B34B2">
              <w:rPr>
                <w:rFonts w:ascii="Times New Roman" w:hAnsi="Times New Roman" w:cs="Times New Roman"/>
              </w:rPr>
              <w:t>181039680</w:t>
            </w:r>
          </w:p>
        </w:tc>
      </w:tr>
      <w:tr w:rsidR="003D0BE9" w:rsidRPr="00120CB4" w:rsidTr="003D0BE9">
        <w:trPr>
          <w:jc w:val="center"/>
        </w:trPr>
        <w:tc>
          <w:tcPr>
            <w:tcW w:w="1907" w:type="dxa"/>
          </w:tcPr>
          <w:p w:rsidR="003D0BE9" w:rsidRPr="00120CB4" w:rsidRDefault="003D0BE9" w:rsidP="003D0BE9">
            <w:pPr>
              <w:pStyle w:val="NormalWeb"/>
              <w:spacing w:after="0"/>
              <w:rPr>
                <w:b/>
                <w:sz w:val="22"/>
                <w:szCs w:val="22"/>
              </w:rPr>
            </w:pPr>
            <w:r w:rsidRPr="00120CB4">
              <w:rPr>
                <w:b/>
                <w:sz w:val="22"/>
                <w:szCs w:val="22"/>
              </w:rPr>
              <w:t>FRN</w:t>
            </w:r>
          </w:p>
        </w:tc>
        <w:tc>
          <w:tcPr>
            <w:tcW w:w="1759" w:type="dxa"/>
          </w:tcPr>
          <w:p w:rsidR="003D0BE9" w:rsidRPr="007B34B2" w:rsidRDefault="003D0BE9" w:rsidP="003D0BE9">
            <w:pPr>
              <w:pStyle w:val="NormalWeb"/>
              <w:spacing w:after="0"/>
              <w:rPr>
                <w:sz w:val="22"/>
                <w:szCs w:val="22"/>
              </w:rPr>
            </w:pPr>
            <w:r w:rsidRPr="007B34B2">
              <w:rPr>
                <w:sz w:val="22"/>
                <w:szCs w:val="22"/>
              </w:rPr>
              <w:t>1899077834</w:t>
            </w:r>
          </w:p>
        </w:tc>
        <w:tc>
          <w:tcPr>
            <w:tcW w:w="1639" w:type="dxa"/>
          </w:tcPr>
          <w:p w:rsidR="003D0BE9" w:rsidRPr="007B34B2" w:rsidRDefault="003D0BE9" w:rsidP="003D0BE9">
            <w:pPr>
              <w:pStyle w:val="NormalWeb"/>
              <w:spacing w:after="0"/>
              <w:rPr>
                <w:sz w:val="22"/>
                <w:szCs w:val="22"/>
              </w:rPr>
            </w:pPr>
            <w:r w:rsidRPr="007B34B2">
              <w:rPr>
                <w:sz w:val="22"/>
                <w:szCs w:val="22"/>
              </w:rPr>
              <w:t>1899078760</w:t>
            </w:r>
          </w:p>
        </w:tc>
        <w:tc>
          <w:tcPr>
            <w:tcW w:w="1639" w:type="dxa"/>
          </w:tcPr>
          <w:p w:rsidR="003D0BE9" w:rsidRPr="007B34B2" w:rsidRDefault="003D0BE9" w:rsidP="003D0BE9">
            <w:pPr>
              <w:pStyle w:val="NormalWeb"/>
              <w:spacing w:after="0"/>
              <w:rPr>
                <w:sz w:val="22"/>
                <w:szCs w:val="22"/>
              </w:rPr>
            </w:pPr>
            <w:r w:rsidRPr="007B34B2">
              <w:rPr>
                <w:sz w:val="22"/>
                <w:szCs w:val="22"/>
              </w:rPr>
              <w:t>1899079152</w:t>
            </w:r>
          </w:p>
        </w:tc>
        <w:tc>
          <w:tcPr>
            <w:tcW w:w="1316" w:type="dxa"/>
          </w:tcPr>
          <w:p w:rsidR="003D0BE9" w:rsidRPr="007B34B2" w:rsidRDefault="003D0BE9" w:rsidP="003D0BE9">
            <w:pPr>
              <w:pStyle w:val="NormalWeb"/>
              <w:spacing w:after="0"/>
              <w:rPr>
                <w:sz w:val="22"/>
                <w:szCs w:val="22"/>
              </w:rPr>
            </w:pPr>
            <w:r w:rsidRPr="007B34B2">
              <w:rPr>
                <w:sz w:val="22"/>
                <w:szCs w:val="22"/>
              </w:rPr>
              <w:t>1899083750</w:t>
            </w:r>
          </w:p>
        </w:tc>
        <w:tc>
          <w:tcPr>
            <w:tcW w:w="1316" w:type="dxa"/>
          </w:tcPr>
          <w:p w:rsidR="003D0BE9" w:rsidRPr="007B34B2" w:rsidRDefault="003D0BE9" w:rsidP="003D0BE9">
            <w:pPr>
              <w:pStyle w:val="NormalWeb"/>
              <w:spacing w:after="0"/>
              <w:rPr>
                <w:sz w:val="22"/>
                <w:szCs w:val="22"/>
              </w:rPr>
            </w:pPr>
            <w:r w:rsidRPr="007B34B2">
              <w:rPr>
                <w:sz w:val="22"/>
                <w:szCs w:val="22"/>
              </w:rPr>
              <w:t>1899083751</w:t>
            </w:r>
          </w:p>
        </w:tc>
      </w:tr>
      <w:tr w:rsidR="003D0BE9" w:rsidRPr="00120CB4" w:rsidTr="003D0BE9">
        <w:trPr>
          <w:jc w:val="center"/>
        </w:trPr>
        <w:tc>
          <w:tcPr>
            <w:tcW w:w="1907" w:type="dxa"/>
          </w:tcPr>
          <w:p w:rsidR="003D0BE9" w:rsidRPr="00120CB4" w:rsidRDefault="003D0BE9" w:rsidP="003D0BE9">
            <w:pPr>
              <w:pStyle w:val="NormalWeb"/>
              <w:spacing w:after="0"/>
              <w:rPr>
                <w:b/>
                <w:sz w:val="22"/>
                <w:szCs w:val="22"/>
              </w:rPr>
            </w:pPr>
            <w:r w:rsidRPr="00120CB4">
              <w:rPr>
                <w:b/>
                <w:sz w:val="22"/>
                <w:szCs w:val="22"/>
              </w:rPr>
              <w:t>SPIN</w:t>
            </w:r>
          </w:p>
        </w:tc>
        <w:tc>
          <w:tcPr>
            <w:tcW w:w="1759" w:type="dxa"/>
          </w:tcPr>
          <w:p w:rsidR="003D0BE9" w:rsidRPr="007B34B2" w:rsidRDefault="003D0BE9" w:rsidP="003D0BE9">
            <w:pPr>
              <w:pStyle w:val="NormalWeb"/>
              <w:spacing w:after="0"/>
              <w:rPr>
                <w:sz w:val="22"/>
                <w:szCs w:val="22"/>
              </w:rPr>
            </w:pPr>
            <w:r w:rsidRPr="007B34B2">
              <w:rPr>
                <w:sz w:val="22"/>
                <w:szCs w:val="22"/>
              </w:rPr>
              <w:t>143025700</w:t>
            </w:r>
          </w:p>
        </w:tc>
        <w:tc>
          <w:tcPr>
            <w:tcW w:w="1639" w:type="dxa"/>
          </w:tcPr>
          <w:p w:rsidR="003D0BE9" w:rsidRPr="007B34B2" w:rsidRDefault="003D0BE9" w:rsidP="003D0BE9">
            <w:pPr>
              <w:rPr>
                <w:rFonts w:ascii="Times New Roman" w:hAnsi="Times New Roman" w:cs="Times New Roman"/>
              </w:rPr>
            </w:pPr>
            <w:r w:rsidRPr="007B34B2">
              <w:rPr>
                <w:rFonts w:ascii="Times New Roman" w:hAnsi="Times New Roman" w:cs="Times New Roman"/>
              </w:rPr>
              <w:t>143025700</w:t>
            </w:r>
          </w:p>
        </w:tc>
        <w:tc>
          <w:tcPr>
            <w:tcW w:w="1639" w:type="dxa"/>
          </w:tcPr>
          <w:p w:rsidR="003D0BE9" w:rsidRPr="007B34B2" w:rsidRDefault="003D0BE9" w:rsidP="003D0BE9">
            <w:pPr>
              <w:rPr>
                <w:rFonts w:ascii="Times New Roman" w:hAnsi="Times New Roman" w:cs="Times New Roman"/>
              </w:rPr>
            </w:pPr>
            <w:r w:rsidRPr="007B34B2">
              <w:rPr>
                <w:rFonts w:ascii="Times New Roman" w:hAnsi="Times New Roman" w:cs="Times New Roman"/>
              </w:rPr>
              <w:t>143025700</w:t>
            </w:r>
          </w:p>
        </w:tc>
        <w:tc>
          <w:tcPr>
            <w:tcW w:w="1316" w:type="dxa"/>
          </w:tcPr>
          <w:p w:rsidR="003D0BE9" w:rsidRPr="007B34B2" w:rsidRDefault="003D0BE9" w:rsidP="003D0BE9">
            <w:pPr>
              <w:rPr>
                <w:rFonts w:ascii="Times New Roman" w:hAnsi="Times New Roman" w:cs="Times New Roman"/>
              </w:rPr>
            </w:pPr>
            <w:r w:rsidRPr="007B34B2">
              <w:rPr>
                <w:rFonts w:ascii="Times New Roman" w:hAnsi="Times New Roman" w:cs="Times New Roman"/>
              </w:rPr>
              <w:t>143025700</w:t>
            </w:r>
          </w:p>
        </w:tc>
        <w:tc>
          <w:tcPr>
            <w:tcW w:w="1316" w:type="dxa"/>
          </w:tcPr>
          <w:p w:rsidR="003D0BE9" w:rsidRPr="007B34B2" w:rsidRDefault="003D0BE9" w:rsidP="003D0BE9">
            <w:pPr>
              <w:rPr>
                <w:rFonts w:ascii="Times New Roman" w:hAnsi="Times New Roman" w:cs="Times New Roman"/>
              </w:rPr>
            </w:pPr>
            <w:r w:rsidRPr="007B34B2">
              <w:rPr>
                <w:rFonts w:ascii="Times New Roman" w:hAnsi="Times New Roman" w:cs="Times New Roman"/>
              </w:rPr>
              <w:t>143025700</w:t>
            </w:r>
          </w:p>
        </w:tc>
      </w:tr>
      <w:tr w:rsidR="003D0BE9" w:rsidRPr="00120CB4" w:rsidTr="003D0BE9">
        <w:trPr>
          <w:jc w:val="center"/>
        </w:trPr>
        <w:tc>
          <w:tcPr>
            <w:tcW w:w="1907" w:type="dxa"/>
          </w:tcPr>
          <w:p w:rsidR="003D0BE9" w:rsidRPr="00120CB4" w:rsidRDefault="003D0BE9" w:rsidP="003D0BE9">
            <w:pPr>
              <w:pStyle w:val="NormalWeb"/>
              <w:spacing w:after="0"/>
              <w:rPr>
                <w:b/>
                <w:sz w:val="22"/>
                <w:szCs w:val="22"/>
              </w:rPr>
            </w:pPr>
            <w:r>
              <w:rPr>
                <w:b/>
                <w:sz w:val="22"/>
                <w:szCs w:val="22"/>
              </w:rPr>
              <w:t>Invoice Deadline</w:t>
            </w:r>
          </w:p>
        </w:tc>
        <w:tc>
          <w:tcPr>
            <w:tcW w:w="1759" w:type="dxa"/>
          </w:tcPr>
          <w:p w:rsidR="003D0BE9" w:rsidRPr="007B34B2" w:rsidRDefault="003D0BE9" w:rsidP="003D0BE9">
            <w:pPr>
              <w:pStyle w:val="NormalWeb"/>
              <w:spacing w:after="0"/>
              <w:rPr>
                <w:sz w:val="22"/>
                <w:szCs w:val="22"/>
              </w:rPr>
            </w:pPr>
            <w:r w:rsidRPr="007B34B2">
              <w:rPr>
                <w:sz w:val="22"/>
                <w:szCs w:val="22"/>
              </w:rPr>
              <w:t>10/28/2019</w:t>
            </w:r>
          </w:p>
        </w:tc>
        <w:tc>
          <w:tcPr>
            <w:tcW w:w="1639" w:type="dxa"/>
          </w:tcPr>
          <w:p w:rsidR="003D0BE9" w:rsidRPr="007B34B2" w:rsidRDefault="003D0BE9" w:rsidP="003D0BE9">
            <w:pPr>
              <w:rPr>
                <w:rFonts w:ascii="Times New Roman" w:hAnsi="Times New Roman" w:cs="Times New Roman"/>
              </w:rPr>
            </w:pPr>
            <w:r w:rsidRPr="007B34B2">
              <w:rPr>
                <w:rFonts w:ascii="Times New Roman" w:hAnsi="Times New Roman" w:cs="Times New Roman"/>
              </w:rPr>
              <w:t>10/28/2019</w:t>
            </w:r>
          </w:p>
        </w:tc>
        <w:tc>
          <w:tcPr>
            <w:tcW w:w="1639" w:type="dxa"/>
          </w:tcPr>
          <w:p w:rsidR="003D0BE9" w:rsidRPr="007B34B2" w:rsidRDefault="003D0BE9" w:rsidP="003D0BE9">
            <w:pPr>
              <w:rPr>
                <w:rFonts w:ascii="Times New Roman" w:hAnsi="Times New Roman" w:cs="Times New Roman"/>
              </w:rPr>
            </w:pPr>
            <w:r w:rsidRPr="007B34B2">
              <w:rPr>
                <w:rFonts w:ascii="Times New Roman" w:hAnsi="Times New Roman" w:cs="Times New Roman"/>
              </w:rPr>
              <w:t>10/28/2019</w:t>
            </w:r>
          </w:p>
        </w:tc>
        <w:tc>
          <w:tcPr>
            <w:tcW w:w="1316" w:type="dxa"/>
          </w:tcPr>
          <w:p w:rsidR="003D0BE9" w:rsidRPr="007B34B2" w:rsidRDefault="003D0BE9" w:rsidP="003D0BE9">
            <w:pPr>
              <w:rPr>
                <w:rFonts w:ascii="Times New Roman" w:hAnsi="Times New Roman" w:cs="Times New Roman"/>
              </w:rPr>
            </w:pPr>
            <w:r w:rsidRPr="007B34B2">
              <w:rPr>
                <w:rFonts w:ascii="Times New Roman" w:hAnsi="Times New Roman" w:cs="Times New Roman"/>
              </w:rPr>
              <w:t>10/28/2019</w:t>
            </w:r>
          </w:p>
        </w:tc>
        <w:tc>
          <w:tcPr>
            <w:tcW w:w="1316" w:type="dxa"/>
          </w:tcPr>
          <w:p w:rsidR="003D0BE9" w:rsidRPr="007B34B2" w:rsidRDefault="003D0BE9" w:rsidP="003D0BE9">
            <w:pPr>
              <w:rPr>
                <w:rFonts w:ascii="Times New Roman" w:hAnsi="Times New Roman" w:cs="Times New Roman"/>
              </w:rPr>
            </w:pPr>
            <w:r w:rsidRPr="007B34B2">
              <w:rPr>
                <w:rFonts w:ascii="Times New Roman" w:hAnsi="Times New Roman" w:cs="Times New Roman"/>
              </w:rPr>
              <w:t>10/28/2019</w:t>
            </w:r>
          </w:p>
        </w:tc>
      </w:tr>
    </w:tbl>
    <w:p w:rsidR="003D0BE9" w:rsidRDefault="003D0BE9" w:rsidP="003D0BE9">
      <w:pPr>
        <w:pStyle w:val="NormalWeb"/>
        <w:keepLines/>
        <w:suppressLineNumbers/>
        <w:shd w:val="clear" w:color="auto" w:fill="FFFFFF"/>
        <w:rPr>
          <w:sz w:val="22"/>
          <w:szCs w:val="22"/>
        </w:rPr>
      </w:pPr>
    </w:p>
    <w:p w:rsidR="007B34B2" w:rsidRPr="00120CB4" w:rsidRDefault="007B34B2" w:rsidP="003D0BE9">
      <w:pPr>
        <w:pStyle w:val="NormalWeb"/>
        <w:keepLines/>
        <w:suppressLineNumbers/>
        <w:shd w:val="clear" w:color="auto" w:fill="FFFFFF"/>
        <w:rPr>
          <w:sz w:val="22"/>
          <w:szCs w:val="22"/>
        </w:rPr>
      </w:pPr>
    </w:p>
    <w:p w:rsidR="003D0BE9" w:rsidRPr="00120CB4" w:rsidRDefault="003D0BE9" w:rsidP="003D0BE9">
      <w:pPr>
        <w:pStyle w:val="NormalWeb"/>
        <w:shd w:val="clear" w:color="auto" w:fill="FFFFFF"/>
        <w:spacing w:line="255" w:lineRule="atLeast"/>
        <w:rPr>
          <w:b/>
          <w:sz w:val="22"/>
          <w:szCs w:val="22"/>
        </w:rPr>
      </w:pPr>
      <w:r w:rsidRPr="00120CB4">
        <w:rPr>
          <w:b/>
          <w:sz w:val="22"/>
          <w:szCs w:val="22"/>
        </w:rPr>
        <w:t xml:space="preserve">Explanation of </w:t>
      </w:r>
      <w:r>
        <w:rPr>
          <w:b/>
          <w:sz w:val="22"/>
          <w:szCs w:val="22"/>
        </w:rPr>
        <w:t>Appeal/Waiver</w:t>
      </w:r>
    </w:p>
    <w:p w:rsidR="003D0BE9" w:rsidRPr="00120CB4" w:rsidRDefault="003D0BE9" w:rsidP="003D0BE9">
      <w:pPr>
        <w:pStyle w:val="NormalWeb"/>
        <w:shd w:val="clear" w:color="auto" w:fill="FFFFFF"/>
        <w:spacing w:line="360" w:lineRule="auto"/>
        <w:rPr>
          <w:sz w:val="22"/>
          <w:szCs w:val="22"/>
        </w:rPr>
      </w:pPr>
      <w:r w:rsidRPr="00120CB4">
        <w:rPr>
          <w:sz w:val="22"/>
          <w:szCs w:val="22"/>
        </w:rPr>
        <w:t xml:space="preserve">We are writing to </w:t>
      </w:r>
      <w:r w:rsidR="00127FC5">
        <w:rPr>
          <w:sz w:val="22"/>
          <w:szCs w:val="22"/>
        </w:rPr>
        <w:t>waive the Invoice Deadline Extension for the above</w:t>
      </w:r>
      <w:r w:rsidRPr="00120CB4">
        <w:rPr>
          <w:sz w:val="22"/>
          <w:szCs w:val="22"/>
        </w:rPr>
        <w:t xml:space="preserve"> listed </w:t>
      </w:r>
      <w:r w:rsidR="00127FC5">
        <w:rPr>
          <w:sz w:val="22"/>
          <w:szCs w:val="22"/>
        </w:rPr>
        <w:t>funding requests</w:t>
      </w:r>
      <w:r w:rsidRPr="00120CB4">
        <w:rPr>
          <w:sz w:val="22"/>
          <w:szCs w:val="22"/>
        </w:rPr>
        <w:t xml:space="preserve"> on FCC Form 471 </w:t>
      </w:r>
      <w:r w:rsidR="00127FC5">
        <w:rPr>
          <w:sz w:val="22"/>
          <w:szCs w:val="22"/>
        </w:rPr>
        <w:t>181039680</w:t>
      </w:r>
      <w:r w:rsidRPr="00120CB4">
        <w:rPr>
          <w:sz w:val="22"/>
          <w:szCs w:val="22"/>
        </w:rPr>
        <w:t xml:space="preserve"> for funding year 201</w:t>
      </w:r>
      <w:r w:rsidR="00127FC5">
        <w:rPr>
          <w:sz w:val="22"/>
          <w:szCs w:val="22"/>
        </w:rPr>
        <w:t>8</w:t>
      </w:r>
      <w:r w:rsidRPr="00120CB4">
        <w:rPr>
          <w:sz w:val="22"/>
          <w:szCs w:val="22"/>
        </w:rPr>
        <w:t xml:space="preserve">. The reason given for </w:t>
      </w:r>
      <w:r w:rsidR="00127FC5">
        <w:rPr>
          <w:sz w:val="22"/>
          <w:szCs w:val="22"/>
        </w:rPr>
        <w:t xml:space="preserve">the </w:t>
      </w:r>
      <w:r w:rsidR="000E38C1">
        <w:rPr>
          <w:sz w:val="22"/>
          <w:szCs w:val="22"/>
        </w:rPr>
        <w:t xml:space="preserve">invoice </w:t>
      </w:r>
      <w:r w:rsidR="00127FC5">
        <w:rPr>
          <w:sz w:val="22"/>
          <w:szCs w:val="22"/>
        </w:rPr>
        <w:t>extension</w:t>
      </w:r>
      <w:r w:rsidRPr="00120CB4">
        <w:rPr>
          <w:sz w:val="22"/>
          <w:szCs w:val="22"/>
        </w:rPr>
        <w:t xml:space="preserve"> denial was “</w:t>
      </w:r>
      <w:r w:rsidR="00127FC5" w:rsidRPr="00127FC5">
        <w:rPr>
          <w:i/>
          <w:sz w:val="22"/>
          <w:szCs w:val="22"/>
        </w:rPr>
        <w:t>This FRN has already passed its original IDD</w:t>
      </w:r>
      <w:r w:rsidRPr="00120CB4">
        <w:rPr>
          <w:sz w:val="22"/>
          <w:szCs w:val="22"/>
        </w:rPr>
        <w:t>”</w:t>
      </w:r>
      <w:r w:rsidR="00E86CE9">
        <w:rPr>
          <w:rStyle w:val="FootnoteReference"/>
          <w:sz w:val="22"/>
          <w:szCs w:val="22"/>
        </w:rPr>
        <w:footnoteReference w:id="2"/>
      </w:r>
      <w:r w:rsidRPr="00120CB4">
        <w:rPr>
          <w:sz w:val="22"/>
          <w:szCs w:val="22"/>
        </w:rPr>
        <w:t>.</w:t>
      </w:r>
    </w:p>
    <w:p w:rsidR="003D0BE9" w:rsidRPr="00120CB4" w:rsidRDefault="00127FC5" w:rsidP="003D0BE9">
      <w:pPr>
        <w:pStyle w:val="NormalWeb"/>
        <w:shd w:val="clear" w:color="auto" w:fill="FFFFFF"/>
        <w:spacing w:line="360" w:lineRule="auto"/>
        <w:rPr>
          <w:sz w:val="22"/>
          <w:szCs w:val="22"/>
        </w:rPr>
      </w:pPr>
      <w:r>
        <w:rPr>
          <w:sz w:val="22"/>
          <w:szCs w:val="22"/>
        </w:rPr>
        <w:t xml:space="preserve">There </w:t>
      </w:r>
      <w:r w:rsidR="00E86CE9">
        <w:rPr>
          <w:sz w:val="22"/>
          <w:szCs w:val="22"/>
        </w:rPr>
        <w:t xml:space="preserve">have been </w:t>
      </w:r>
      <w:r>
        <w:rPr>
          <w:sz w:val="22"/>
          <w:szCs w:val="22"/>
        </w:rPr>
        <w:t>extremely complex and unusual circumstances</w:t>
      </w:r>
      <w:r w:rsidR="003D0BE9" w:rsidRPr="00120CB4">
        <w:rPr>
          <w:sz w:val="22"/>
          <w:szCs w:val="22"/>
        </w:rPr>
        <w:t xml:space="preserve"> that caused the invoicing deadline</w:t>
      </w:r>
      <w:r w:rsidR="00E86CE9">
        <w:rPr>
          <w:sz w:val="22"/>
          <w:szCs w:val="22"/>
        </w:rPr>
        <w:t xml:space="preserve"> to </w:t>
      </w:r>
      <w:proofErr w:type="gramStart"/>
      <w:r w:rsidR="00E86CE9">
        <w:rPr>
          <w:sz w:val="22"/>
          <w:szCs w:val="22"/>
        </w:rPr>
        <w:t>be missed</w:t>
      </w:r>
      <w:proofErr w:type="gramEnd"/>
      <w:r w:rsidR="003D0BE9" w:rsidRPr="00120CB4">
        <w:rPr>
          <w:sz w:val="22"/>
          <w:szCs w:val="22"/>
        </w:rPr>
        <w:t>.</w:t>
      </w:r>
      <w:r w:rsidR="00E86CE9">
        <w:rPr>
          <w:sz w:val="22"/>
          <w:szCs w:val="22"/>
        </w:rPr>
        <w:t xml:space="preserve"> Issues</w:t>
      </w:r>
      <w:r w:rsidR="003D0BE9" w:rsidRPr="00120CB4">
        <w:rPr>
          <w:sz w:val="22"/>
          <w:szCs w:val="22"/>
        </w:rPr>
        <w:t xml:space="preserve"> took place between the </w:t>
      </w:r>
      <w:r>
        <w:rPr>
          <w:sz w:val="22"/>
          <w:szCs w:val="22"/>
        </w:rPr>
        <w:t>applicant</w:t>
      </w:r>
      <w:r w:rsidR="003D0BE9" w:rsidRPr="00120CB4">
        <w:rPr>
          <w:sz w:val="22"/>
          <w:szCs w:val="22"/>
        </w:rPr>
        <w:t xml:space="preserve"> and </w:t>
      </w:r>
      <w:r>
        <w:rPr>
          <w:sz w:val="22"/>
          <w:szCs w:val="22"/>
        </w:rPr>
        <w:t>service provider</w:t>
      </w:r>
      <w:r w:rsidR="003D0BE9" w:rsidRPr="00120CB4">
        <w:rPr>
          <w:sz w:val="22"/>
          <w:szCs w:val="22"/>
        </w:rPr>
        <w:t xml:space="preserve"> that cause</w:t>
      </w:r>
      <w:r>
        <w:rPr>
          <w:sz w:val="22"/>
          <w:szCs w:val="22"/>
        </w:rPr>
        <w:t>d</w:t>
      </w:r>
      <w:r w:rsidR="003D0BE9" w:rsidRPr="00120CB4">
        <w:rPr>
          <w:sz w:val="22"/>
          <w:szCs w:val="22"/>
        </w:rPr>
        <w:t xml:space="preserve"> </w:t>
      </w:r>
      <w:r w:rsidR="00E86CE9">
        <w:rPr>
          <w:sz w:val="22"/>
          <w:szCs w:val="22"/>
        </w:rPr>
        <w:t>confusion on the fact that an extension was even necessary since a Form 500 is pending for the same funding requests</w:t>
      </w:r>
      <w:r w:rsidR="003D0BE9" w:rsidRPr="00120CB4">
        <w:rPr>
          <w:sz w:val="22"/>
          <w:szCs w:val="22"/>
        </w:rPr>
        <w:t xml:space="preserve">.  </w:t>
      </w:r>
    </w:p>
    <w:p w:rsidR="007B34B2" w:rsidRDefault="007B34B2" w:rsidP="003D0BE9">
      <w:pPr>
        <w:pStyle w:val="NormalWeb"/>
        <w:shd w:val="clear" w:color="auto" w:fill="FFFFFF"/>
        <w:spacing w:line="255" w:lineRule="atLeast"/>
        <w:rPr>
          <w:b/>
          <w:sz w:val="22"/>
          <w:szCs w:val="22"/>
        </w:rPr>
      </w:pPr>
    </w:p>
    <w:p w:rsidR="007B34B2" w:rsidRDefault="007B34B2" w:rsidP="003D0BE9">
      <w:pPr>
        <w:pStyle w:val="NormalWeb"/>
        <w:shd w:val="clear" w:color="auto" w:fill="FFFFFF"/>
        <w:spacing w:line="255" w:lineRule="atLeast"/>
        <w:rPr>
          <w:b/>
          <w:sz w:val="22"/>
          <w:szCs w:val="22"/>
        </w:rPr>
      </w:pPr>
    </w:p>
    <w:p w:rsidR="003D0BE9" w:rsidRPr="00120CB4" w:rsidRDefault="003D0BE9" w:rsidP="003D0BE9">
      <w:pPr>
        <w:pStyle w:val="NormalWeb"/>
        <w:shd w:val="clear" w:color="auto" w:fill="FFFFFF"/>
        <w:spacing w:line="255" w:lineRule="atLeast"/>
        <w:rPr>
          <w:sz w:val="22"/>
          <w:szCs w:val="22"/>
        </w:rPr>
      </w:pPr>
      <w:r w:rsidRPr="00120CB4">
        <w:rPr>
          <w:b/>
          <w:sz w:val="22"/>
          <w:szCs w:val="22"/>
        </w:rPr>
        <w:lastRenderedPageBreak/>
        <w:t>Background</w:t>
      </w:r>
      <w:r>
        <w:rPr>
          <w:b/>
          <w:sz w:val="22"/>
          <w:szCs w:val="22"/>
        </w:rPr>
        <w:t xml:space="preserve"> </w:t>
      </w:r>
    </w:p>
    <w:p w:rsidR="003D0BE9" w:rsidRPr="00120CB4" w:rsidRDefault="00E86CE9" w:rsidP="003D0BE9">
      <w:pPr>
        <w:pStyle w:val="ParaNum"/>
        <w:numPr>
          <w:ilvl w:val="0"/>
          <w:numId w:val="0"/>
        </w:numPr>
        <w:spacing w:line="360" w:lineRule="auto"/>
        <w:jc w:val="left"/>
        <w:rPr>
          <w:color w:val="000000"/>
          <w:szCs w:val="22"/>
          <w:shd w:val="clear" w:color="auto" w:fill="FFFFFF"/>
        </w:rPr>
      </w:pPr>
      <w:proofErr w:type="spellStart"/>
      <w:r>
        <w:rPr>
          <w:color w:val="000000"/>
          <w:szCs w:val="22"/>
          <w:shd w:val="clear" w:color="auto" w:fill="FFFFFF"/>
        </w:rPr>
        <w:t>NetXV</w:t>
      </w:r>
      <w:proofErr w:type="spellEnd"/>
      <w:r>
        <w:rPr>
          <w:color w:val="000000"/>
          <w:szCs w:val="22"/>
          <w:shd w:val="clear" w:color="auto" w:fill="FFFFFF"/>
        </w:rPr>
        <w:t xml:space="preserve"> has been and </w:t>
      </w:r>
      <w:proofErr w:type="gramStart"/>
      <w:r>
        <w:rPr>
          <w:color w:val="000000"/>
          <w:szCs w:val="22"/>
          <w:shd w:val="clear" w:color="auto" w:fill="FFFFFF"/>
        </w:rPr>
        <w:t>is currently entangled</w:t>
      </w:r>
      <w:proofErr w:type="gramEnd"/>
      <w:r>
        <w:rPr>
          <w:color w:val="000000"/>
          <w:szCs w:val="22"/>
          <w:shd w:val="clear" w:color="auto" w:fill="FFFFFF"/>
        </w:rPr>
        <w:t xml:space="preserve"> in several issues with the FCC and USAC on the above referenced funding requests. After a viable competitive bidding process in 2018, they engaged </w:t>
      </w:r>
      <w:proofErr w:type="spellStart"/>
      <w:r>
        <w:rPr>
          <w:color w:val="000000"/>
          <w:szCs w:val="22"/>
          <w:shd w:val="clear" w:color="auto" w:fill="FFFFFF"/>
        </w:rPr>
        <w:t>Conterra</w:t>
      </w:r>
      <w:proofErr w:type="spellEnd"/>
      <w:r>
        <w:rPr>
          <w:color w:val="000000"/>
          <w:szCs w:val="22"/>
          <w:shd w:val="clear" w:color="auto" w:fill="FFFFFF"/>
        </w:rPr>
        <w:t xml:space="preserve"> Ultra Broadband, LLC (</w:t>
      </w:r>
      <w:proofErr w:type="spellStart"/>
      <w:r>
        <w:rPr>
          <w:color w:val="000000"/>
          <w:szCs w:val="22"/>
          <w:shd w:val="clear" w:color="auto" w:fill="FFFFFF"/>
        </w:rPr>
        <w:t>Conterra</w:t>
      </w:r>
      <w:proofErr w:type="spellEnd"/>
      <w:r>
        <w:rPr>
          <w:color w:val="000000"/>
          <w:szCs w:val="22"/>
          <w:shd w:val="clear" w:color="auto" w:fill="FFFFFF"/>
        </w:rPr>
        <w:t xml:space="preserve">) to construct a robust fiber WAN for its 38 consortia members located in ESC Region 15 in Texas. </w:t>
      </w:r>
      <w:r w:rsidR="003D0BE9" w:rsidRPr="00120CB4">
        <w:rPr>
          <w:color w:val="000000"/>
          <w:szCs w:val="22"/>
          <w:shd w:val="clear" w:color="auto" w:fill="FFFFFF"/>
        </w:rPr>
        <w:t xml:space="preserve">Below is an account of the barriers and </w:t>
      </w:r>
      <w:r>
        <w:rPr>
          <w:color w:val="000000"/>
          <w:szCs w:val="22"/>
          <w:shd w:val="clear" w:color="auto" w:fill="FFFFFF"/>
        </w:rPr>
        <w:t>how there is confusion as to if/when an invoice extension is necessary</w:t>
      </w:r>
      <w:r w:rsidR="003D0BE9" w:rsidRPr="00120CB4">
        <w:rPr>
          <w:color w:val="000000"/>
          <w:szCs w:val="22"/>
          <w:shd w:val="clear" w:color="auto" w:fill="FFFFFF"/>
        </w:rPr>
        <w:t>.</w:t>
      </w:r>
    </w:p>
    <w:p w:rsidR="00BF5C6A" w:rsidRDefault="00E86CE9" w:rsidP="003D0BE9">
      <w:pPr>
        <w:pStyle w:val="ParaNum"/>
        <w:numPr>
          <w:ilvl w:val="0"/>
          <w:numId w:val="0"/>
        </w:numPr>
        <w:spacing w:line="360" w:lineRule="auto"/>
        <w:jc w:val="left"/>
        <w:rPr>
          <w:color w:val="000000"/>
          <w:szCs w:val="22"/>
          <w:shd w:val="clear" w:color="auto" w:fill="FFFFFF"/>
        </w:rPr>
      </w:pPr>
      <w:r>
        <w:rPr>
          <w:color w:val="000000"/>
          <w:szCs w:val="22"/>
          <w:shd w:val="clear" w:color="auto" w:fill="FFFFFF"/>
        </w:rPr>
        <w:t xml:space="preserve">After multiple discussions </w:t>
      </w:r>
      <w:r w:rsidR="00740B7B">
        <w:rPr>
          <w:color w:val="000000"/>
          <w:szCs w:val="22"/>
          <w:shd w:val="clear" w:color="auto" w:fill="FFFFFF"/>
        </w:rPr>
        <w:t>between</w:t>
      </w:r>
      <w:r>
        <w:rPr>
          <w:color w:val="000000"/>
          <w:szCs w:val="22"/>
          <w:shd w:val="clear" w:color="auto" w:fill="FFFFFF"/>
        </w:rPr>
        <w:t xml:space="preserve"> </w:t>
      </w:r>
      <w:proofErr w:type="spellStart"/>
      <w:r>
        <w:rPr>
          <w:color w:val="000000"/>
          <w:szCs w:val="22"/>
          <w:shd w:val="clear" w:color="auto" w:fill="FFFFFF"/>
        </w:rPr>
        <w:t>NetXV</w:t>
      </w:r>
      <w:proofErr w:type="spellEnd"/>
      <w:r w:rsidR="00740B7B">
        <w:rPr>
          <w:color w:val="000000"/>
          <w:szCs w:val="22"/>
          <w:shd w:val="clear" w:color="auto" w:fill="FFFFFF"/>
        </w:rPr>
        <w:t xml:space="preserve">, </w:t>
      </w:r>
      <w:proofErr w:type="spellStart"/>
      <w:r w:rsidR="00740B7B">
        <w:rPr>
          <w:color w:val="000000"/>
          <w:szCs w:val="22"/>
          <w:shd w:val="clear" w:color="auto" w:fill="FFFFFF"/>
        </w:rPr>
        <w:t>Conterra</w:t>
      </w:r>
      <w:proofErr w:type="spellEnd"/>
      <w:r>
        <w:rPr>
          <w:color w:val="000000"/>
          <w:szCs w:val="22"/>
          <w:shd w:val="clear" w:color="auto" w:fill="FFFFFF"/>
        </w:rPr>
        <w:t xml:space="preserve"> and</w:t>
      </w:r>
      <w:r w:rsidR="00740B7B">
        <w:rPr>
          <w:color w:val="000000"/>
          <w:szCs w:val="22"/>
          <w:shd w:val="clear" w:color="auto" w:fill="FFFFFF"/>
        </w:rPr>
        <w:t xml:space="preserve"> their</w:t>
      </w:r>
      <w:r>
        <w:rPr>
          <w:color w:val="000000"/>
          <w:szCs w:val="22"/>
          <w:shd w:val="clear" w:color="auto" w:fill="FFFFFF"/>
        </w:rPr>
        <w:t xml:space="preserve"> third party service providers, </w:t>
      </w:r>
      <w:r w:rsidR="00740B7B">
        <w:rPr>
          <w:color w:val="000000"/>
          <w:szCs w:val="22"/>
          <w:shd w:val="clear" w:color="auto" w:fill="FFFFFF"/>
        </w:rPr>
        <w:t xml:space="preserve">a project redesign </w:t>
      </w:r>
      <w:proofErr w:type="gramStart"/>
      <w:r w:rsidR="00740B7B">
        <w:rPr>
          <w:color w:val="000000"/>
          <w:szCs w:val="22"/>
          <w:shd w:val="clear" w:color="auto" w:fill="FFFFFF"/>
        </w:rPr>
        <w:t>was finalized</w:t>
      </w:r>
      <w:proofErr w:type="gramEnd"/>
      <w:r w:rsidR="00740B7B">
        <w:rPr>
          <w:color w:val="000000"/>
          <w:szCs w:val="22"/>
          <w:shd w:val="clear" w:color="auto" w:fill="FFFFFF"/>
        </w:rPr>
        <w:t xml:space="preserve"> in March 2019 and </w:t>
      </w:r>
      <w:r>
        <w:rPr>
          <w:color w:val="000000"/>
          <w:szCs w:val="22"/>
          <w:shd w:val="clear" w:color="auto" w:fill="FFFFFF"/>
        </w:rPr>
        <w:t xml:space="preserve">special construction began in </w:t>
      </w:r>
      <w:r w:rsidR="00740B7B">
        <w:rPr>
          <w:color w:val="000000"/>
          <w:szCs w:val="22"/>
          <w:shd w:val="clear" w:color="auto" w:fill="FFFFFF"/>
        </w:rPr>
        <w:t>April 2019.</w:t>
      </w:r>
      <w:r>
        <w:rPr>
          <w:color w:val="000000"/>
          <w:szCs w:val="22"/>
          <w:shd w:val="clear" w:color="auto" w:fill="FFFFFF"/>
        </w:rPr>
        <w:t xml:space="preserve"> Knowing that </w:t>
      </w:r>
      <w:r w:rsidR="00B668E9">
        <w:rPr>
          <w:color w:val="000000"/>
          <w:szCs w:val="22"/>
          <w:shd w:val="clear" w:color="auto" w:fill="FFFFFF"/>
        </w:rPr>
        <w:t xml:space="preserve">fiber </w:t>
      </w:r>
      <w:r>
        <w:rPr>
          <w:color w:val="000000"/>
          <w:szCs w:val="22"/>
          <w:shd w:val="clear" w:color="auto" w:fill="FFFFFF"/>
        </w:rPr>
        <w:t xml:space="preserve">services were not going to be </w:t>
      </w:r>
      <w:proofErr w:type="gramStart"/>
      <w:r>
        <w:rPr>
          <w:color w:val="000000"/>
          <w:szCs w:val="22"/>
          <w:shd w:val="clear" w:color="auto" w:fill="FFFFFF"/>
        </w:rPr>
        <w:t>delivered</w:t>
      </w:r>
      <w:proofErr w:type="gramEnd"/>
      <w:r>
        <w:rPr>
          <w:color w:val="000000"/>
          <w:szCs w:val="22"/>
          <w:shd w:val="clear" w:color="auto" w:fill="FFFFFF"/>
        </w:rPr>
        <w:t xml:space="preserve"> or lit within the FY 2018 fund year, a Form 500 was submitted to USAC on June 14, 2019</w:t>
      </w:r>
      <w:r w:rsidR="00B668E9">
        <w:rPr>
          <w:color w:val="000000"/>
          <w:szCs w:val="22"/>
          <w:shd w:val="clear" w:color="auto" w:fill="FFFFFF"/>
        </w:rPr>
        <w:t>, to extend contract end dates and implementation deadlines</w:t>
      </w:r>
      <w:r>
        <w:rPr>
          <w:color w:val="000000"/>
          <w:szCs w:val="22"/>
          <w:shd w:val="clear" w:color="auto" w:fill="FFFFFF"/>
        </w:rPr>
        <w:t>.</w:t>
      </w:r>
      <w:r w:rsidR="00B668E9">
        <w:rPr>
          <w:color w:val="000000"/>
          <w:szCs w:val="22"/>
          <w:shd w:val="clear" w:color="auto" w:fill="FFFFFF"/>
        </w:rPr>
        <w:t xml:space="preserve"> To date, the Form 500 status is st</w:t>
      </w:r>
      <w:r w:rsidR="00086CAA">
        <w:rPr>
          <w:color w:val="000000"/>
          <w:szCs w:val="22"/>
          <w:shd w:val="clear" w:color="auto" w:fill="FFFFFF"/>
        </w:rPr>
        <w:t>ill “in review”</w:t>
      </w:r>
      <w:r w:rsidR="00856533">
        <w:rPr>
          <w:rStyle w:val="FootnoteReference"/>
          <w:color w:val="000000"/>
          <w:szCs w:val="22"/>
          <w:shd w:val="clear" w:color="auto" w:fill="FFFFFF"/>
        </w:rPr>
        <w:footnoteReference w:id="3"/>
      </w:r>
      <w:r w:rsidR="00086CAA">
        <w:rPr>
          <w:color w:val="000000"/>
          <w:szCs w:val="22"/>
          <w:shd w:val="clear" w:color="auto" w:fill="FFFFFF"/>
        </w:rPr>
        <w:t>.</w:t>
      </w:r>
      <w:r w:rsidR="00B668E9">
        <w:rPr>
          <w:color w:val="000000"/>
          <w:szCs w:val="22"/>
          <w:shd w:val="clear" w:color="auto" w:fill="FFFFFF"/>
        </w:rPr>
        <w:t xml:space="preserve"> </w:t>
      </w:r>
      <w:r>
        <w:rPr>
          <w:color w:val="000000"/>
          <w:szCs w:val="22"/>
          <w:shd w:val="clear" w:color="auto" w:fill="FFFFFF"/>
        </w:rPr>
        <w:t xml:space="preserve"> </w:t>
      </w:r>
    </w:p>
    <w:p w:rsidR="002738B8" w:rsidRDefault="00BF5C6A" w:rsidP="003D0BE9">
      <w:pPr>
        <w:pStyle w:val="ParaNum"/>
        <w:numPr>
          <w:ilvl w:val="0"/>
          <w:numId w:val="0"/>
        </w:numPr>
        <w:spacing w:line="360" w:lineRule="auto"/>
        <w:jc w:val="left"/>
        <w:rPr>
          <w:color w:val="000000"/>
          <w:szCs w:val="22"/>
          <w:shd w:val="clear" w:color="auto" w:fill="FFFFFF"/>
        </w:rPr>
      </w:pPr>
      <w:r>
        <w:rPr>
          <w:color w:val="000000"/>
          <w:szCs w:val="22"/>
          <w:shd w:val="clear" w:color="auto" w:fill="FFFFFF"/>
        </w:rPr>
        <w:t>We realize when</w:t>
      </w:r>
      <w:r w:rsidR="002738B8">
        <w:rPr>
          <w:color w:val="000000"/>
          <w:szCs w:val="22"/>
          <w:shd w:val="clear" w:color="auto" w:fill="FFFFFF"/>
        </w:rPr>
        <w:t xml:space="preserve"> these extensions </w:t>
      </w:r>
      <w:proofErr w:type="gramStart"/>
      <w:r w:rsidR="002738B8">
        <w:rPr>
          <w:color w:val="000000"/>
          <w:szCs w:val="22"/>
          <w:shd w:val="clear" w:color="auto" w:fill="FFFFFF"/>
        </w:rPr>
        <w:t>are approved</w:t>
      </w:r>
      <w:proofErr w:type="gramEnd"/>
      <w:r w:rsidR="002738B8">
        <w:rPr>
          <w:color w:val="000000"/>
          <w:szCs w:val="22"/>
          <w:shd w:val="clear" w:color="auto" w:fill="FFFFFF"/>
        </w:rPr>
        <w:t xml:space="preserve"> on the Form 500, the </w:t>
      </w:r>
      <w:r>
        <w:rPr>
          <w:color w:val="000000"/>
          <w:szCs w:val="22"/>
          <w:shd w:val="clear" w:color="auto" w:fill="FFFFFF"/>
        </w:rPr>
        <w:t>invoice deadlines should be</w:t>
      </w:r>
      <w:r w:rsidR="002738B8">
        <w:rPr>
          <w:color w:val="000000"/>
          <w:szCs w:val="22"/>
          <w:shd w:val="clear" w:color="auto" w:fill="FFFFFF"/>
        </w:rPr>
        <w:t xml:space="preserve"> automatically extend</w:t>
      </w:r>
      <w:r>
        <w:rPr>
          <w:color w:val="000000"/>
          <w:szCs w:val="22"/>
          <w:shd w:val="clear" w:color="auto" w:fill="FFFFFF"/>
        </w:rPr>
        <w:t>ed</w:t>
      </w:r>
      <w:r w:rsidR="002738B8">
        <w:rPr>
          <w:color w:val="000000"/>
          <w:szCs w:val="22"/>
          <w:shd w:val="clear" w:color="auto" w:fill="FFFFFF"/>
        </w:rPr>
        <w:t xml:space="preserve"> </w:t>
      </w:r>
      <w:r>
        <w:rPr>
          <w:color w:val="000000"/>
          <w:szCs w:val="22"/>
          <w:shd w:val="clear" w:color="auto" w:fill="FFFFFF"/>
        </w:rPr>
        <w:t>to allow</w:t>
      </w:r>
      <w:r w:rsidR="002738B8">
        <w:rPr>
          <w:color w:val="000000"/>
          <w:szCs w:val="22"/>
          <w:shd w:val="clear" w:color="auto" w:fill="FFFFFF"/>
        </w:rPr>
        <w:t xml:space="preserve"> the applicant</w:t>
      </w:r>
      <w:r>
        <w:rPr>
          <w:color w:val="000000"/>
          <w:szCs w:val="22"/>
          <w:shd w:val="clear" w:color="auto" w:fill="FFFFFF"/>
        </w:rPr>
        <w:t xml:space="preserve"> and service provider extended</w:t>
      </w:r>
      <w:r w:rsidR="002738B8">
        <w:rPr>
          <w:color w:val="000000"/>
          <w:szCs w:val="22"/>
          <w:shd w:val="clear" w:color="auto" w:fill="FFFFFF"/>
        </w:rPr>
        <w:t xml:space="preserve"> </w:t>
      </w:r>
      <w:r>
        <w:rPr>
          <w:color w:val="000000"/>
          <w:szCs w:val="22"/>
          <w:shd w:val="clear" w:color="auto" w:fill="FFFFFF"/>
        </w:rPr>
        <w:t>time to</w:t>
      </w:r>
      <w:r w:rsidR="002738B8">
        <w:rPr>
          <w:color w:val="000000"/>
          <w:szCs w:val="22"/>
          <w:shd w:val="clear" w:color="auto" w:fill="FFFFFF"/>
        </w:rPr>
        <w:t xml:space="preserve"> complete the project</w:t>
      </w:r>
      <w:r w:rsidR="005B4B36">
        <w:rPr>
          <w:color w:val="000000"/>
          <w:szCs w:val="22"/>
          <w:shd w:val="clear" w:color="auto" w:fill="FFFFFF"/>
        </w:rPr>
        <w:t xml:space="preserve"> </w:t>
      </w:r>
      <w:r>
        <w:rPr>
          <w:color w:val="000000"/>
          <w:szCs w:val="22"/>
          <w:shd w:val="clear" w:color="auto" w:fill="FFFFFF"/>
        </w:rPr>
        <w:t>and receive commensurate reimbursements</w:t>
      </w:r>
      <w:r w:rsidR="002738B8">
        <w:rPr>
          <w:color w:val="000000"/>
          <w:szCs w:val="22"/>
          <w:shd w:val="clear" w:color="auto" w:fill="FFFFFF"/>
        </w:rPr>
        <w:t xml:space="preserve">. However, </w:t>
      </w:r>
      <w:proofErr w:type="spellStart"/>
      <w:r w:rsidR="002738B8">
        <w:rPr>
          <w:color w:val="000000"/>
          <w:szCs w:val="22"/>
          <w:shd w:val="clear" w:color="auto" w:fill="FFFFFF"/>
        </w:rPr>
        <w:t>Conterra</w:t>
      </w:r>
      <w:proofErr w:type="spellEnd"/>
      <w:r w:rsidR="002738B8">
        <w:rPr>
          <w:color w:val="000000"/>
          <w:szCs w:val="22"/>
          <w:shd w:val="clear" w:color="auto" w:fill="FFFFFF"/>
        </w:rPr>
        <w:t xml:space="preserve"> </w:t>
      </w:r>
      <w:r w:rsidR="00B0101E">
        <w:rPr>
          <w:color w:val="000000"/>
          <w:szCs w:val="22"/>
          <w:shd w:val="clear" w:color="auto" w:fill="FFFFFF"/>
        </w:rPr>
        <w:t>has been submitting Form 474</w:t>
      </w:r>
      <w:r>
        <w:rPr>
          <w:color w:val="000000"/>
          <w:szCs w:val="22"/>
          <w:shd w:val="clear" w:color="auto" w:fill="FFFFFF"/>
        </w:rPr>
        <w:t xml:space="preserve"> invoices,</w:t>
      </w:r>
      <w:r w:rsidR="00B0101E">
        <w:rPr>
          <w:color w:val="000000"/>
          <w:szCs w:val="22"/>
          <w:shd w:val="clear" w:color="auto" w:fill="FFFFFF"/>
        </w:rPr>
        <w:t xml:space="preserve"> or Service Provider Invoices (SPIs)</w:t>
      </w:r>
      <w:r>
        <w:rPr>
          <w:color w:val="000000"/>
          <w:szCs w:val="22"/>
          <w:shd w:val="clear" w:color="auto" w:fill="FFFFFF"/>
        </w:rPr>
        <w:t>,</w:t>
      </w:r>
      <w:r w:rsidR="00B0101E">
        <w:rPr>
          <w:color w:val="000000"/>
          <w:szCs w:val="22"/>
          <w:shd w:val="clear" w:color="auto" w:fill="FFFFFF"/>
        </w:rPr>
        <w:t xml:space="preserve"> for reimbursement from USAC</w:t>
      </w:r>
      <w:r w:rsidR="002738B8">
        <w:rPr>
          <w:color w:val="000000"/>
          <w:szCs w:val="22"/>
          <w:shd w:val="clear" w:color="auto" w:fill="FFFFFF"/>
        </w:rPr>
        <w:t xml:space="preserve"> each month as progress payments</w:t>
      </w:r>
      <w:r w:rsidR="005B4B36">
        <w:rPr>
          <w:color w:val="000000"/>
          <w:szCs w:val="22"/>
          <w:shd w:val="clear" w:color="auto" w:fill="FFFFFF"/>
        </w:rPr>
        <w:t xml:space="preserve"> (milestone payment</w:t>
      </w:r>
      <w:r>
        <w:rPr>
          <w:color w:val="000000"/>
          <w:szCs w:val="22"/>
          <w:shd w:val="clear" w:color="auto" w:fill="FFFFFF"/>
        </w:rPr>
        <w:t>s</w:t>
      </w:r>
      <w:r w:rsidR="005B4B36">
        <w:rPr>
          <w:color w:val="000000"/>
          <w:szCs w:val="22"/>
          <w:shd w:val="clear" w:color="auto" w:fill="FFFFFF"/>
        </w:rPr>
        <w:t>)</w:t>
      </w:r>
      <w:r w:rsidR="002738B8">
        <w:rPr>
          <w:color w:val="000000"/>
          <w:szCs w:val="22"/>
          <w:shd w:val="clear" w:color="auto" w:fill="FFFFFF"/>
        </w:rPr>
        <w:t xml:space="preserve"> on these funding requests so they have the capital to continue </w:t>
      </w:r>
      <w:r>
        <w:rPr>
          <w:color w:val="000000"/>
          <w:szCs w:val="22"/>
          <w:shd w:val="clear" w:color="auto" w:fill="FFFFFF"/>
        </w:rPr>
        <w:t>with the special construction of this</w:t>
      </w:r>
      <w:r w:rsidR="002738B8">
        <w:rPr>
          <w:color w:val="000000"/>
          <w:szCs w:val="22"/>
          <w:shd w:val="clear" w:color="auto" w:fill="FFFFFF"/>
        </w:rPr>
        <w:t xml:space="preserve"> large </w:t>
      </w:r>
      <w:r>
        <w:rPr>
          <w:color w:val="000000"/>
          <w:szCs w:val="22"/>
          <w:shd w:val="clear" w:color="auto" w:fill="FFFFFF"/>
        </w:rPr>
        <w:t xml:space="preserve">fiber </w:t>
      </w:r>
      <w:r w:rsidR="002738B8">
        <w:rPr>
          <w:color w:val="000000"/>
          <w:szCs w:val="22"/>
          <w:shd w:val="clear" w:color="auto" w:fill="FFFFFF"/>
        </w:rPr>
        <w:t xml:space="preserve">project. </w:t>
      </w:r>
      <w:r w:rsidR="00B0101E">
        <w:rPr>
          <w:color w:val="000000"/>
          <w:szCs w:val="22"/>
          <w:shd w:val="clear" w:color="auto" w:fill="FFFFFF"/>
        </w:rPr>
        <w:t xml:space="preserve"> </w:t>
      </w:r>
    </w:p>
    <w:p w:rsidR="003D0BE9" w:rsidRPr="00120CB4" w:rsidRDefault="002738B8" w:rsidP="003D0BE9">
      <w:pPr>
        <w:pStyle w:val="ParaNum"/>
        <w:numPr>
          <w:ilvl w:val="0"/>
          <w:numId w:val="0"/>
        </w:numPr>
        <w:spacing w:line="360" w:lineRule="auto"/>
        <w:jc w:val="left"/>
        <w:rPr>
          <w:color w:val="000000"/>
          <w:szCs w:val="22"/>
          <w:shd w:val="clear" w:color="auto" w:fill="FFFFFF"/>
        </w:rPr>
      </w:pPr>
      <w:r>
        <w:rPr>
          <w:color w:val="000000"/>
          <w:szCs w:val="22"/>
          <w:shd w:val="clear" w:color="auto" w:fill="FFFFFF"/>
        </w:rPr>
        <w:t xml:space="preserve">There was confusion as to which party, </w:t>
      </w:r>
      <w:proofErr w:type="spellStart"/>
      <w:r>
        <w:rPr>
          <w:color w:val="000000"/>
          <w:szCs w:val="22"/>
          <w:shd w:val="clear" w:color="auto" w:fill="FFFFFF"/>
        </w:rPr>
        <w:t>NetXV</w:t>
      </w:r>
      <w:proofErr w:type="spellEnd"/>
      <w:r>
        <w:rPr>
          <w:color w:val="000000"/>
          <w:szCs w:val="22"/>
          <w:shd w:val="clear" w:color="auto" w:fill="FFFFFF"/>
        </w:rPr>
        <w:t xml:space="preserve"> or </w:t>
      </w:r>
      <w:proofErr w:type="spellStart"/>
      <w:r>
        <w:rPr>
          <w:color w:val="000000"/>
          <w:szCs w:val="22"/>
          <w:shd w:val="clear" w:color="auto" w:fill="FFFFFF"/>
        </w:rPr>
        <w:t>Conterra</w:t>
      </w:r>
      <w:proofErr w:type="spellEnd"/>
      <w:r>
        <w:rPr>
          <w:color w:val="000000"/>
          <w:szCs w:val="22"/>
          <w:shd w:val="clear" w:color="auto" w:fill="FFFFFF"/>
        </w:rPr>
        <w:t>, would file an inv</w:t>
      </w:r>
      <w:r w:rsidR="00BF5C6A">
        <w:rPr>
          <w:color w:val="000000"/>
          <w:szCs w:val="22"/>
          <w:shd w:val="clear" w:color="auto" w:fill="FFFFFF"/>
        </w:rPr>
        <w:t>oice deadline extension or if one</w:t>
      </w:r>
      <w:r>
        <w:rPr>
          <w:color w:val="000000"/>
          <w:szCs w:val="22"/>
          <w:shd w:val="clear" w:color="auto" w:fill="FFFFFF"/>
        </w:rPr>
        <w:t xml:space="preserve"> was even necessary. As it turns out, an extension </w:t>
      </w:r>
      <w:proofErr w:type="gramStart"/>
      <w:r w:rsidR="00BF5C6A">
        <w:rPr>
          <w:color w:val="000000"/>
          <w:szCs w:val="22"/>
          <w:shd w:val="clear" w:color="auto" w:fill="FFFFFF"/>
        </w:rPr>
        <w:t>is</w:t>
      </w:r>
      <w:r>
        <w:rPr>
          <w:color w:val="000000"/>
          <w:szCs w:val="22"/>
          <w:shd w:val="clear" w:color="auto" w:fill="FFFFFF"/>
        </w:rPr>
        <w:t xml:space="preserve"> needed</w:t>
      </w:r>
      <w:proofErr w:type="gramEnd"/>
      <w:r>
        <w:rPr>
          <w:color w:val="000000"/>
          <w:szCs w:val="22"/>
          <w:shd w:val="clear" w:color="auto" w:fill="FFFFFF"/>
        </w:rPr>
        <w:t xml:space="preserve"> because </w:t>
      </w:r>
      <w:proofErr w:type="spellStart"/>
      <w:r>
        <w:rPr>
          <w:color w:val="000000"/>
          <w:szCs w:val="22"/>
          <w:shd w:val="clear" w:color="auto" w:fill="FFFFFF"/>
        </w:rPr>
        <w:t>Conterra</w:t>
      </w:r>
      <w:proofErr w:type="spellEnd"/>
      <w:r>
        <w:rPr>
          <w:color w:val="000000"/>
          <w:szCs w:val="22"/>
          <w:shd w:val="clear" w:color="auto" w:fill="FFFFFF"/>
        </w:rPr>
        <w:t xml:space="preserve"> </w:t>
      </w:r>
      <w:r w:rsidR="00BF5C6A">
        <w:rPr>
          <w:color w:val="000000"/>
          <w:szCs w:val="22"/>
          <w:shd w:val="clear" w:color="auto" w:fill="FFFFFF"/>
        </w:rPr>
        <w:t>must continue</w:t>
      </w:r>
      <w:r w:rsidR="005B4B36">
        <w:rPr>
          <w:color w:val="000000"/>
          <w:szCs w:val="22"/>
          <w:shd w:val="clear" w:color="auto" w:fill="FFFFFF"/>
        </w:rPr>
        <w:t xml:space="preserve"> invoicing USAC the monthly milestone payments</w:t>
      </w:r>
      <w:r w:rsidR="00BF5C6A">
        <w:rPr>
          <w:color w:val="000000"/>
          <w:szCs w:val="22"/>
          <w:shd w:val="clear" w:color="auto" w:fill="FFFFFF"/>
        </w:rPr>
        <w:t xml:space="preserve"> </w:t>
      </w:r>
      <w:r w:rsidR="00280DF4">
        <w:rPr>
          <w:color w:val="000000"/>
          <w:szCs w:val="22"/>
          <w:shd w:val="clear" w:color="auto" w:fill="FFFFFF"/>
        </w:rPr>
        <w:t>during the Form 500 w</w:t>
      </w:r>
      <w:bookmarkStart w:id="0" w:name="_GoBack"/>
      <w:bookmarkEnd w:id="0"/>
      <w:r w:rsidR="00280DF4">
        <w:rPr>
          <w:color w:val="000000"/>
          <w:szCs w:val="22"/>
          <w:shd w:val="clear" w:color="auto" w:fill="FFFFFF"/>
        </w:rPr>
        <w:t>aiting period</w:t>
      </w:r>
      <w:r w:rsidR="005B4B36">
        <w:rPr>
          <w:color w:val="000000"/>
          <w:szCs w:val="22"/>
          <w:shd w:val="clear" w:color="auto" w:fill="FFFFFF"/>
        </w:rPr>
        <w:t xml:space="preserve">. </w:t>
      </w:r>
      <w:r>
        <w:rPr>
          <w:color w:val="000000"/>
          <w:szCs w:val="22"/>
          <w:shd w:val="clear" w:color="auto" w:fill="FFFFFF"/>
        </w:rPr>
        <w:t xml:space="preserve"> </w:t>
      </w:r>
    </w:p>
    <w:p w:rsidR="003D0BE9" w:rsidRPr="00120CB4" w:rsidRDefault="003D0BE9" w:rsidP="003D0BE9">
      <w:pPr>
        <w:pStyle w:val="NormalWeb"/>
        <w:shd w:val="clear" w:color="auto" w:fill="FFFFFF"/>
        <w:spacing w:line="255" w:lineRule="atLeast"/>
        <w:rPr>
          <w:sz w:val="22"/>
          <w:szCs w:val="22"/>
        </w:rPr>
      </w:pPr>
      <w:r w:rsidRPr="00120CB4">
        <w:rPr>
          <w:b/>
          <w:sz w:val="22"/>
          <w:szCs w:val="22"/>
        </w:rPr>
        <w:t>Conclusion</w:t>
      </w:r>
      <w:r w:rsidRPr="00120CB4">
        <w:rPr>
          <w:sz w:val="22"/>
          <w:szCs w:val="22"/>
        </w:rPr>
        <w:t>:</w:t>
      </w:r>
    </w:p>
    <w:p w:rsidR="003D0BE9" w:rsidRDefault="003D0BE9" w:rsidP="003D0BE9">
      <w:pPr>
        <w:pStyle w:val="NormalWeb"/>
        <w:shd w:val="clear" w:color="auto" w:fill="FFFFFF"/>
        <w:spacing w:line="360" w:lineRule="auto"/>
        <w:rPr>
          <w:color w:val="000000"/>
          <w:sz w:val="22"/>
          <w:szCs w:val="22"/>
          <w:shd w:val="clear" w:color="auto" w:fill="FFFFFF"/>
        </w:rPr>
      </w:pPr>
      <w:r w:rsidRPr="00120CB4">
        <w:rPr>
          <w:color w:val="000000"/>
          <w:sz w:val="22"/>
          <w:szCs w:val="22"/>
          <w:shd w:val="clear" w:color="auto" w:fill="FFFFFF"/>
        </w:rPr>
        <w:t xml:space="preserve">As you can see, </w:t>
      </w:r>
      <w:proofErr w:type="gramStart"/>
      <w:r w:rsidRPr="00120CB4">
        <w:rPr>
          <w:color w:val="000000"/>
          <w:sz w:val="22"/>
          <w:szCs w:val="22"/>
          <w:shd w:val="clear" w:color="auto" w:fill="FFFFFF"/>
        </w:rPr>
        <w:t xml:space="preserve">there </w:t>
      </w:r>
      <w:r w:rsidR="007B34B2">
        <w:rPr>
          <w:color w:val="000000"/>
          <w:sz w:val="22"/>
          <w:szCs w:val="22"/>
          <w:shd w:val="clear" w:color="auto" w:fill="FFFFFF"/>
        </w:rPr>
        <w:t>were</w:t>
      </w:r>
      <w:r w:rsidR="005B4B36">
        <w:rPr>
          <w:color w:val="000000"/>
          <w:sz w:val="22"/>
          <w:szCs w:val="22"/>
          <w:shd w:val="clear" w:color="auto" w:fill="FFFFFF"/>
        </w:rPr>
        <w:t xml:space="preserve"> several unusual circumstances and complexities that</w:t>
      </w:r>
      <w:proofErr w:type="gramEnd"/>
      <w:r w:rsidR="005B4B36">
        <w:rPr>
          <w:color w:val="000000"/>
          <w:sz w:val="22"/>
          <w:szCs w:val="22"/>
          <w:shd w:val="clear" w:color="auto" w:fill="FFFFFF"/>
        </w:rPr>
        <w:t xml:space="preserve"> caused </w:t>
      </w:r>
      <w:proofErr w:type="spellStart"/>
      <w:r w:rsidR="005B4B36">
        <w:rPr>
          <w:color w:val="000000"/>
          <w:sz w:val="22"/>
          <w:szCs w:val="22"/>
          <w:shd w:val="clear" w:color="auto" w:fill="FFFFFF"/>
        </w:rPr>
        <w:t>NetXV</w:t>
      </w:r>
      <w:proofErr w:type="spellEnd"/>
      <w:r w:rsidR="005B4B36">
        <w:rPr>
          <w:color w:val="000000"/>
          <w:sz w:val="22"/>
          <w:szCs w:val="22"/>
          <w:shd w:val="clear" w:color="auto" w:fill="FFFFFF"/>
        </w:rPr>
        <w:t xml:space="preserve"> to miss the invoice deadline for these services</w:t>
      </w:r>
      <w:r w:rsidRPr="00120CB4">
        <w:rPr>
          <w:color w:val="000000"/>
          <w:sz w:val="22"/>
          <w:szCs w:val="22"/>
          <w:shd w:val="clear" w:color="auto" w:fill="FFFFFF"/>
        </w:rPr>
        <w:t xml:space="preserve">. We hope the FCC </w:t>
      </w:r>
      <w:r>
        <w:rPr>
          <w:color w:val="000000"/>
          <w:sz w:val="22"/>
          <w:szCs w:val="22"/>
          <w:shd w:val="clear" w:color="auto" w:fill="FFFFFF"/>
        </w:rPr>
        <w:t xml:space="preserve">and Bureau </w:t>
      </w:r>
      <w:r w:rsidRPr="00120CB4">
        <w:rPr>
          <w:color w:val="000000"/>
          <w:sz w:val="22"/>
          <w:szCs w:val="22"/>
          <w:shd w:val="clear" w:color="auto" w:fill="FFFFFF"/>
        </w:rPr>
        <w:t xml:space="preserve">will recognize the extraordinary circumstances and </w:t>
      </w:r>
      <w:r w:rsidR="005B4B36">
        <w:rPr>
          <w:color w:val="000000"/>
          <w:sz w:val="22"/>
          <w:szCs w:val="22"/>
          <w:shd w:val="clear" w:color="auto" w:fill="FFFFFF"/>
        </w:rPr>
        <w:t xml:space="preserve">grant us additional time. </w:t>
      </w:r>
      <w:r w:rsidRPr="00120CB4">
        <w:rPr>
          <w:color w:val="000000"/>
          <w:sz w:val="22"/>
          <w:szCs w:val="22"/>
          <w:shd w:val="clear" w:color="auto" w:fill="FFFFFF"/>
        </w:rPr>
        <w:t xml:space="preserve">Under normal circumstances, these deadlines </w:t>
      </w:r>
      <w:r w:rsidR="005B4B36">
        <w:rPr>
          <w:color w:val="000000"/>
          <w:sz w:val="22"/>
          <w:szCs w:val="22"/>
          <w:shd w:val="clear" w:color="auto" w:fill="FFFFFF"/>
        </w:rPr>
        <w:t>would have been clearer to us and we would have filed a timely extension</w:t>
      </w:r>
      <w:r w:rsidRPr="00120CB4">
        <w:rPr>
          <w:color w:val="000000"/>
          <w:sz w:val="22"/>
          <w:szCs w:val="22"/>
          <w:shd w:val="clear" w:color="auto" w:fill="FFFFFF"/>
        </w:rPr>
        <w:t>.</w:t>
      </w:r>
    </w:p>
    <w:p w:rsidR="007B34B2" w:rsidRPr="00120CB4" w:rsidRDefault="007B34B2" w:rsidP="003D0BE9">
      <w:pPr>
        <w:pStyle w:val="NormalWeb"/>
        <w:shd w:val="clear" w:color="auto" w:fill="FFFFFF"/>
        <w:spacing w:line="360" w:lineRule="auto"/>
        <w:rPr>
          <w:color w:val="000000"/>
          <w:sz w:val="22"/>
          <w:szCs w:val="22"/>
          <w:shd w:val="clear" w:color="auto" w:fill="FFFFFF"/>
        </w:rPr>
      </w:pPr>
      <w:r>
        <w:rPr>
          <w:color w:val="000000"/>
          <w:sz w:val="22"/>
          <w:szCs w:val="22"/>
          <w:shd w:val="clear" w:color="auto" w:fill="FFFFFF"/>
        </w:rPr>
        <w:t>We anticipate the Form 500</w:t>
      </w:r>
      <w:r>
        <w:rPr>
          <w:rStyle w:val="FootnoteReference"/>
          <w:color w:val="000000"/>
          <w:sz w:val="22"/>
          <w:szCs w:val="22"/>
          <w:shd w:val="clear" w:color="auto" w:fill="FFFFFF"/>
        </w:rPr>
        <w:footnoteReference w:id="4"/>
      </w:r>
      <w:r>
        <w:rPr>
          <w:color w:val="000000"/>
          <w:sz w:val="22"/>
          <w:szCs w:val="22"/>
          <w:shd w:val="clear" w:color="auto" w:fill="FFFFFF"/>
        </w:rPr>
        <w:t xml:space="preserve"> </w:t>
      </w:r>
      <w:proofErr w:type="gramStart"/>
      <w:r>
        <w:rPr>
          <w:color w:val="000000"/>
          <w:sz w:val="22"/>
          <w:szCs w:val="22"/>
          <w:shd w:val="clear" w:color="auto" w:fill="FFFFFF"/>
        </w:rPr>
        <w:t>will be processed</w:t>
      </w:r>
      <w:proofErr w:type="gramEnd"/>
      <w:r>
        <w:rPr>
          <w:color w:val="000000"/>
          <w:sz w:val="22"/>
          <w:szCs w:val="22"/>
          <w:shd w:val="clear" w:color="auto" w:fill="FFFFFF"/>
        </w:rPr>
        <w:t xml:space="preserve"> by USAC soon and the implementation and contract deadlines will be extended; which will then allow </w:t>
      </w:r>
      <w:proofErr w:type="spellStart"/>
      <w:r>
        <w:rPr>
          <w:color w:val="000000"/>
          <w:sz w:val="22"/>
          <w:szCs w:val="22"/>
          <w:shd w:val="clear" w:color="auto" w:fill="FFFFFF"/>
        </w:rPr>
        <w:t>NetXV</w:t>
      </w:r>
      <w:proofErr w:type="spellEnd"/>
      <w:r>
        <w:rPr>
          <w:color w:val="000000"/>
          <w:sz w:val="22"/>
          <w:szCs w:val="22"/>
          <w:shd w:val="clear" w:color="auto" w:fill="FFFFFF"/>
        </w:rPr>
        <w:t xml:space="preserve"> and </w:t>
      </w:r>
      <w:proofErr w:type="spellStart"/>
      <w:r>
        <w:rPr>
          <w:color w:val="000000"/>
          <w:sz w:val="22"/>
          <w:szCs w:val="22"/>
          <w:shd w:val="clear" w:color="auto" w:fill="FFFFFF"/>
        </w:rPr>
        <w:t>Conterra</w:t>
      </w:r>
      <w:proofErr w:type="spellEnd"/>
      <w:r>
        <w:rPr>
          <w:color w:val="000000"/>
          <w:sz w:val="22"/>
          <w:szCs w:val="22"/>
          <w:shd w:val="clear" w:color="auto" w:fill="FFFFFF"/>
        </w:rPr>
        <w:t xml:space="preserve"> to requests all funding through June 30, 2020.</w:t>
      </w:r>
    </w:p>
    <w:p w:rsidR="003D0BE9" w:rsidRPr="00120CB4" w:rsidRDefault="005B4B36" w:rsidP="003D0BE9">
      <w:pPr>
        <w:pStyle w:val="NormalWeb"/>
        <w:shd w:val="clear" w:color="auto" w:fill="FFFFFF"/>
        <w:spacing w:line="360" w:lineRule="auto"/>
        <w:rPr>
          <w:color w:val="000000"/>
          <w:sz w:val="22"/>
          <w:szCs w:val="22"/>
          <w:shd w:val="clear" w:color="auto" w:fill="FFFFFF"/>
        </w:rPr>
      </w:pPr>
      <w:r>
        <w:rPr>
          <w:color w:val="000000"/>
          <w:sz w:val="22"/>
          <w:szCs w:val="22"/>
          <w:shd w:val="clear" w:color="auto" w:fill="FFFFFF"/>
        </w:rPr>
        <w:lastRenderedPageBreak/>
        <w:t xml:space="preserve">We </w:t>
      </w:r>
      <w:r w:rsidR="003D0BE9" w:rsidRPr="00120CB4">
        <w:rPr>
          <w:color w:val="000000"/>
          <w:sz w:val="22"/>
          <w:szCs w:val="22"/>
          <w:shd w:val="clear" w:color="auto" w:fill="FFFFFF"/>
        </w:rPr>
        <w:t xml:space="preserve">respectfully request the FCC </w:t>
      </w:r>
      <w:r>
        <w:rPr>
          <w:color w:val="000000"/>
          <w:sz w:val="22"/>
          <w:szCs w:val="22"/>
          <w:shd w:val="clear" w:color="auto" w:fill="FFFFFF"/>
        </w:rPr>
        <w:t>waive</w:t>
      </w:r>
      <w:r w:rsidR="003D0BE9">
        <w:rPr>
          <w:color w:val="000000"/>
          <w:sz w:val="22"/>
          <w:szCs w:val="22"/>
          <w:shd w:val="clear" w:color="auto" w:fill="FFFFFF"/>
        </w:rPr>
        <w:t xml:space="preserve"> the </w:t>
      </w:r>
      <w:r>
        <w:rPr>
          <w:color w:val="000000"/>
          <w:sz w:val="22"/>
          <w:szCs w:val="22"/>
          <w:shd w:val="clear" w:color="auto" w:fill="FFFFFF"/>
        </w:rPr>
        <w:t>October 28</w:t>
      </w:r>
      <w:r w:rsidR="003D0BE9">
        <w:rPr>
          <w:color w:val="000000"/>
          <w:sz w:val="22"/>
          <w:szCs w:val="22"/>
          <w:shd w:val="clear" w:color="auto" w:fill="FFFFFF"/>
        </w:rPr>
        <w:t xml:space="preserve">, 2019, invoice deadline and allow </w:t>
      </w:r>
      <w:proofErr w:type="spellStart"/>
      <w:r>
        <w:rPr>
          <w:color w:val="000000"/>
          <w:sz w:val="22"/>
          <w:szCs w:val="22"/>
          <w:shd w:val="clear" w:color="auto" w:fill="FFFFFF"/>
        </w:rPr>
        <w:t>Conterra</w:t>
      </w:r>
      <w:proofErr w:type="spellEnd"/>
      <w:r w:rsidR="003D0BE9">
        <w:rPr>
          <w:color w:val="000000"/>
          <w:sz w:val="22"/>
          <w:szCs w:val="22"/>
          <w:shd w:val="clear" w:color="auto" w:fill="FFFFFF"/>
        </w:rPr>
        <w:t xml:space="preserve"> an </w:t>
      </w:r>
      <w:r>
        <w:rPr>
          <w:color w:val="000000"/>
          <w:sz w:val="22"/>
          <w:szCs w:val="22"/>
          <w:shd w:val="clear" w:color="auto" w:fill="FFFFFF"/>
        </w:rPr>
        <w:t>additional 120 days to file Service Provider Invoices</w:t>
      </w:r>
      <w:r w:rsidR="003D0BE9" w:rsidRPr="00120CB4">
        <w:rPr>
          <w:color w:val="000000"/>
          <w:sz w:val="22"/>
          <w:szCs w:val="22"/>
          <w:shd w:val="clear" w:color="auto" w:fill="FFFFFF"/>
        </w:rPr>
        <w:t xml:space="preserve">. We further attest there is no intent to defraud the program in any way. </w:t>
      </w:r>
    </w:p>
    <w:p w:rsidR="003D0BE9" w:rsidRPr="00120CB4" w:rsidRDefault="003D0BE9" w:rsidP="003D0BE9">
      <w:pPr>
        <w:pStyle w:val="NormalWeb"/>
        <w:shd w:val="clear" w:color="auto" w:fill="FFFFFF"/>
        <w:spacing w:line="255" w:lineRule="atLeast"/>
        <w:rPr>
          <w:sz w:val="22"/>
          <w:szCs w:val="22"/>
        </w:rPr>
      </w:pPr>
      <w:r w:rsidRPr="00120CB4">
        <w:rPr>
          <w:sz w:val="22"/>
          <w:szCs w:val="22"/>
        </w:rPr>
        <w:t>Sincerely,</w:t>
      </w:r>
    </w:p>
    <w:p w:rsidR="003D0BE9" w:rsidRPr="00120CB4" w:rsidRDefault="003D0BE9" w:rsidP="003D0BE9">
      <w:pPr>
        <w:pStyle w:val="NormalWeb"/>
        <w:shd w:val="clear" w:color="auto" w:fill="FFFFFF"/>
        <w:spacing w:line="255" w:lineRule="atLeast"/>
        <w:rPr>
          <w:sz w:val="22"/>
          <w:szCs w:val="22"/>
        </w:rPr>
      </w:pPr>
      <w:r>
        <w:rPr>
          <w:noProof/>
        </w:rPr>
        <w:drawing>
          <wp:inline distT="0" distB="0" distL="0" distR="0" wp14:anchorId="61217934" wp14:editId="5C33B06E">
            <wp:extent cx="909375" cy="36307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948671" cy="378759"/>
                    </a:xfrm>
                    <a:prstGeom prst="rect">
                      <a:avLst/>
                    </a:prstGeom>
                  </pic:spPr>
                </pic:pic>
              </a:graphicData>
            </a:graphic>
          </wp:inline>
        </w:drawing>
      </w:r>
    </w:p>
    <w:p w:rsidR="003D0BE9" w:rsidRPr="00120CB4" w:rsidRDefault="003D0BE9" w:rsidP="003D0BE9">
      <w:pPr>
        <w:pStyle w:val="NormalWeb"/>
        <w:shd w:val="clear" w:color="auto" w:fill="FFFFFF"/>
        <w:spacing w:line="255" w:lineRule="atLeast"/>
        <w:rPr>
          <w:sz w:val="22"/>
          <w:szCs w:val="22"/>
        </w:rPr>
      </w:pPr>
      <w:r>
        <w:rPr>
          <w:sz w:val="22"/>
          <w:szCs w:val="22"/>
        </w:rPr>
        <w:t>Ginnie Harwood</w:t>
      </w:r>
    </w:p>
    <w:p w:rsidR="003D0BE9" w:rsidRDefault="003D0BE9" w:rsidP="003D0BE9">
      <w:pPr>
        <w:pStyle w:val="NormalWeb"/>
        <w:shd w:val="clear" w:color="auto" w:fill="FFFFFF"/>
        <w:spacing w:after="0" w:line="255" w:lineRule="atLeast"/>
        <w:rPr>
          <w:sz w:val="22"/>
          <w:szCs w:val="22"/>
        </w:rPr>
      </w:pPr>
      <w:r w:rsidRPr="00120CB4">
        <w:rPr>
          <w:sz w:val="22"/>
          <w:szCs w:val="22"/>
        </w:rPr>
        <w:t xml:space="preserve">ESC Region 12 E-Rate </w:t>
      </w:r>
      <w:r>
        <w:rPr>
          <w:sz w:val="22"/>
          <w:szCs w:val="22"/>
        </w:rPr>
        <w:t>Consulting</w:t>
      </w:r>
    </w:p>
    <w:p w:rsidR="003D0BE9" w:rsidRDefault="003D0BE9" w:rsidP="003D0BE9">
      <w:pPr>
        <w:pStyle w:val="NormalWeb"/>
        <w:shd w:val="clear" w:color="auto" w:fill="FFFFFF"/>
        <w:spacing w:after="0" w:line="255" w:lineRule="atLeast"/>
        <w:rPr>
          <w:sz w:val="22"/>
          <w:szCs w:val="22"/>
        </w:rPr>
      </w:pPr>
      <w:r>
        <w:rPr>
          <w:sz w:val="22"/>
          <w:szCs w:val="22"/>
        </w:rPr>
        <w:t xml:space="preserve">O: </w:t>
      </w:r>
      <w:proofErr w:type="gramStart"/>
      <w:r>
        <w:rPr>
          <w:sz w:val="22"/>
          <w:szCs w:val="22"/>
        </w:rPr>
        <w:t>254.297.2914  |</w:t>
      </w:r>
      <w:proofErr w:type="gramEnd"/>
      <w:r>
        <w:rPr>
          <w:sz w:val="22"/>
          <w:szCs w:val="22"/>
        </w:rPr>
        <w:t xml:space="preserve"> C: 254.717.0238</w:t>
      </w:r>
    </w:p>
    <w:p w:rsidR="003D0BE9" w:rsidRPr="00120CB4" w:rsidRDefault="004D5186" w:rsidP="003D0BE9">
      <w:pPr>
        <w:pStyle w:val="NormalWeb"/>
        <w:shd w:val="clear" w:color="auto" w:fill="FFFFFF"/>
        <w:spacing w:after="0" w:line="255" w:lineRule="atLeast"/>
        <w:rPr>
          <w:sz w:val="22"/>
          <w:szCs w:val="22"/>
        </w:rPr>
      </w:pPr>
      <w:hyperlink r:id="rId8" w:history="1">
        <w:r w:rsidR="003D0BE9" w:rsidRPr="00F76C50">
          <w:rPr>
            <w:rStyle w:val="Hyperlink"/>
            <w:sz w:val="22"/>
            <w:szCs w:val="22"/>
          </w:rPr>
          <w:t>gharwood@esc12.net</w:t>
        </w:r>
      </w:hyperlink>
      <w:r w:rsidR="003D0BE9">
        <w:rPr>
          <w:sz w:val="22"/>
          <w:szCs w:val="22"/>
        </w:rPr>
        <w:t xml:space="preserve"> </w:t>
      </w:r>
    </w:p>
    <w:p w:rsidR="003D0BE9" w:rsidRPr="00120CB4" w:rsidRDefault="003D0BE9" w:rsidP="003D0BE9">
      <w:pPr>
        <w:pStyle w:val="NormalWeb"/>
        <w:shd w:val="clear" w:color="auto" w:fill="FFFFFF"/>
        <w:spacing w:after="0" w:line="255" w:lineRule="atLeast"/>
        <w:rPr>
          <w:sz w:val="22"/>
          <w:szCs w:val="22"/>
        </w:rPr>
      </w:pPr>
      <w:r w:rsidRPr="00120CB4">
        <w:rPr>
          <w:sz w:val="22"/>
          <w:szCs w:val="22"/>
        </w:rPr>
        <w:t>CRN 16062048</w:t>
      </w:r>
    </w:p>
    <w:p w:rsidR="003D0BE9" w:rsidRPr="00120CB4" w:rsidRDefault="003D0BE9" w:rsidP="003D0BE9">
      <w:pPr>
        <w:rPr>
          <w:rFonts w:ascii="Times New Roman" w:hAnsi="Times New Roman" w:cs="Times New Roman"/>
        </w:rPr>
      </w:pPr>
    </w:p>
    <w:p w:rsidR="0000258D" w:rsidRPr="003D0BE9" w:rsidRDefault="0000258D" w:rsidP="003D0BE9"/>
    <w:sectPr w:rsidR="0000258D" w:rsidRPr="003D0BE9" w:rsidSect="001E01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186" w:rsidRDefault="004D5186" w:rsidP="00805D99">
      <w:pPr>
        <w:spacing w:after="0" w:line="240" w:lineRule="auto"/>
      </w:pPr>
      <w:r>
        <w:separator/>
      </w:r>
    </w:p>
  </w:endnote>
  <w:endnote w:type="continuationSeparator" w:id="0">
    <w:p w:rsidR="004D5186" w:rsidRDefault="004D5186" w:rsidP="00805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186" w:rsidRDefault="004D5186" w:rsidP="00805D99">
      <w:pPr>
        <w:spacing w:after="0" w:line="240" w:lineRule="auto"/>
      </w:pPr>
      <w:r>
        <w:separator/>
      </w:r>
    </w:p>
  </w:footnote>
  <w:footnote w:type="continuationSeparator" w:id="0">
    <w:p w:rsidR="004D5186" w:rsidRDefault="004D5186" w:rsidP="00805D99">
      <w:pPr>
        <w:spacing w:after="0" w:line="240" w:lineRule="auto"/>
      </w:pPr>
      <w:r>
        <w:continuationSeparator/>
      </w:r>
    </w:p>
  </w:footnote>
  <w:footnote w:id="1">
    <w:p w:rsidR="003D0BE9" w:rsidRDefault="003D0BE9" w:rsidP="003D0BE9">
      <w:pPr>
        <w:pStyle w:val="FootnoteText"/>
      </w:pPr>
      <w:r>
        <w:rPr>
          <w:rStyle w:val="FootnoteReference"/>
        </w:rPr>
        <w:footnoteRef/>
      </w:r>
      <w:r>
        <w:t xml:space="preserve"> Exhibit A – NetXV_2018_IDER denial</w:t>
      </w:r>
    </w:p>
  </w:footnote>
  <w:footnote w:id="2">
    <w:p w:rsidR="00E86CE9" w:rsidRDefault="00E86CE9">
      <w:pPr>
        <w:pStyle w:val="FootnoteText"/>
      </w:pPr>
      <w:r>
        <w:rPr>
          <w:rStyle w:val="FootnoteReference"/>
        </w:rPr>
        <w:footnoteRef/>
      </w:r>
      <w:r>
        <w:t xml:space="preserve"> Exhibit B – NetXV_2018_IDER denial-2</w:t>
      </w:r>
    </w:p>
  </w:footnote>
  <w:footnote w:id="3">
    <w:p w:rsidR="00856533" w:rsidRDefault="00856533">
      <w:pPr>
        <w:pStyle w:val="FootnoteText"/>
      </w:pPr>
      <w:r>
        <w:rPr>
          <w:rStyle w:val="FootnoteReference"/>
        </w:rPr>
        <w:footnoteRef/>
      </w:r>
      <w:r>
        <w:t xml:space="preserve"> Exhibit C – NetXV_2018_500-150167</w:t>
      </w:r>
    </w:p>
  </w:footnote>
  <w:footnote w:id="4">
    <w:p w:rsidR="007B34B2" w:rsidRDefault="007B34B2" w:rsidP="007B34B2">
      <w:pPr>
        <w:pStyle w:val="FootnoteText"/>
      </w:pPr>
      <w:r>
        <w:rPr>
          <w:rStyle w:val="FootnoteReference"/>
        </w:rPr>
        <w:footnoteRef/>
      </w:r>
      <w:r>
        <w:t xml:space="preserve"> </w:t>
      </w:r>
      <w:r w:rsidRPr="005B4B36">
        <w:rPr>
          <w:i/>
        </w:rPr>
        <w:t>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F1B3D"/>
    <w:multiLevelType w:val="singleLevel"/>
    <w:tmpl w:val="4DCCE696"/>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6AE21E82"/>
    <w:multiLevelType w:val="hybridMultilevel"/>
    <w:tmpl w:val="516E6C2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105"/>
    <w:rsid w:val="0000258D"/>
    <w:rsid w:val="00012F35"/>
    <w:rsid w:val="00022C89"/>
    <w:rsid w:val="0004452B"/>
    <w:rsid w:val="00065DBB"/>
    <w:rsid w:val="00082532"/>
    <w:rsid w:val="0008504F"/>
    <w:rsid w:val="00086CAA"/>
    <w:rsid w:val="00091602"/>
    <w:rsid w:val="000A6AE0"/>
    <w:rsid w:val="000C4E9F"/>
    <w:rsid w:val="000D13E5"/>
    <w:rsid w:val="000D1E26"/>
    <w:rsid w:val="000E3695"/>
    <w:rsid w:val="000E38C1"/>
    <w:rsid w:val="00112A76"/>
    <w:rsid w:val="001262B1"/>
    <w:rsid w:val="00127FC5"/>
    <w:rsid w:val="00130DFB"/>
    <w:rsid w:val="00135DA5"/>
    <w:rsid w:val="00163FFC"/>
    <w:rsid w:val="001814B0"/>
    <w:rsid w:val="00184242"/>
    <w:rsid w:val="001B786A"/>
    <w:rsid w:val="001D0828"/>
    <w:rsid w:val="001D7AF2"/>
    <w:rsid w:val="001E011B"/>
    <w:rsid w:val="001E6D39"/>
    <w:rsid w:val="002127A5"/>
    <w:rsid w:val="00216F81"/>
    <w:rsid w:val="002543C5"/>
    <w:rsid w:val="002738B8"/>
    <w:rsid w:val="00275CB0"/>
    <w:rsid w:val="00280DF4"/>
    <w:rsid w:val="00297DBC"/>
    <w:rsid w:val="002C10D8"/>
    <w:rsid w:val="002F0F25"/>
    <w:rsid w:val="003320D3"/>
    <w:rsid w:val="003337C5"/>
    <w:rsid w:val="003770E7"/>
    <w:rsid w:val="003A0FD0"/>
    <w:rsid w:val="003B0A16"/>
    <w:rsid w:val="003B2EC0"/>
    <w:rsid w:val="003C5E54"/>
    <w:rsid w:val="003D0BE9"/>
    <w:rsid w:val="003D4481"/>
    <w:rsid w:val="003F190C"/>
    <w:rsid w:val="004044FE"/>
    <w:rsid w:val="0042119A"/>
    <w:rsid w:val="00423035"/>
    <w:rsid w:val="00431FBA"/>
    <w:rsid w:val="004872F7"/>
    <w:rsid w:val="00495F9A"/>
    <w:rsid w:val="004D5186"/>
    <w:rsid w:val="004F1669"/>
    <w:rsid w:val="00523BBB"/>
    <w:rsid w:val="00526E88"/>
    <w:rsid w:val="005433BF"/>
    <w:rsid w:val="00562080"/>
    <w:rsid w:val="00566EE3"/>
    <w:rsid w:val="00577743"/>
    <w:rsid w:val="0058091D"/>
    <w:rsid w:val="005B4B36"/>
    <w:rsid w:val="005C0B8A"/>
    <w:rsid w:val="005D3F78"/>
    <w:rsid w:val="005E4C4D"/>
    <w:rsid w:val="005F070D"/>
    <w:rsid w:val="005F134C"/>
    <w:rsid w:val="005F7314"/>
    <w:rsid w:val="0060318B"/>
    <w:rsid w:val="006413E6"/>
    <w:rsid w:val="00651F2B"/>
    <w:rsid w:val="0065585D"/>
    <w:rsid w:val="00671DEF"/>
    <w:rsid w:val="006A0E42"/>
    <w:rsid w:val="006B6BF9"/>
    <w:rsid w:val="006C5CB4"/>
    <w:rsid w:val="006D4E0D"/>
    <w:rsid w:val="006D74A2"/>
    <w:rsid w:val="006E758F"/>
    <w:rsid w:val="0070693B"/>
    <w:rsid w:val="007231EC"/>
    <w:rsid w:val="00723DE8"/>
    <w:rsid w:val="00731F93"/>
    <w:rsid w:val="00740B7B"/>
    <w:rsid w:val="00745A5F"/>
    <w:rsid w:val="00755146"/>
    <w:rsid w:val="007735A9"/>
    <w:rsid w:val="00775F6D"/>
    <w:rsid w:val="0077626A"/>
    <w:rsid w:val="007B02C3"/>
    <w:rsid w:val="007B34B2"/>
    <w:rsid w:val="007C1EB2"/>
    <w:rsid w:val="007D6C14"/>
    <w:rsid w:val="007E4ECF"/>
    <w:rsid w:val="00805D99"/>
    <w:rsid w:val="00811E57"/>
    <w:rsid w:val="008158CE"/>
    <w:rsid w:val="0083542D"/>
    <w:rsid w:val="008425BC"/>
    <w:rsid w:val="00855E93"/>
    <w:rsid w:val="00856533"/>
    <w:rsid w:val="0085745C"/>
    <w:rsid w:val="00866E30"/>
    <w:rsid w:val="00870EE8"/>
    <w:rsid w:val="00873F5E"/>
    <w:rsid w:val="00885CD1"/>
    <w:rsid w:val="008906D4"/>
    <w:rsid w:val="008A5FD3"/>
    <w:rsid w:val="008B4534"/>
    <w:rsid w:val="008D326A"/>
    <w:rsid w:val="008D6525"/>
    <w:rsid w:val="00937A3A"/>
    <w:rsid w:val="00946FAC"/>
    <w:rsid w:val="00951972"/>
    <w:rsid w:val="00951BC0"/>
    <w:rsid w:val="009A6524"/>
    <w:rsid w:val="009C124F"/>
    <w:rsid w:val="00A428EA"/>
    <w:rsid w:val="00A50105"/>
    <w:rsid w:val="00A57CF4"/>
    <w:rsid w:val="00A74D00"/>
    <w:rsid w:val="00A861B5"/>
    <w:rsid w:val="00A9651F"/>
    <w:rsid w:val="00AA16C1"/>
    <w:rsid w:val="00AC13D6"/>
    <w:rsid w:val="00AD5BD4"/>
    <w:rsid w:val="00AF283F"/>
    <w:rsid w:val="00B0101E"/>
    <w:rsid w:val="00B22608"/>
    <w:rsid w:val="00B53C4D"/>
    <w:rsid w:val="00B5661F"/>
    <w:rsid w:val="00B668E9"/>
    <w:rsid w:val="00B82672"/>
    <w:rsid w:val="00B82ED4"/>
    <w:rsid w:val="00B86EF3"/>
    <w:rsid w:val="00B94E60"/>
    <w:rsid w:val="00BC703B"/>
    <w:rsid w:val="00BD14E1"/>
    <w:rsid w:val="00BD4A80"/>
    <w:rsid w:val="00BE48AC"/>
    <w:rsid w:val="00BF5C6A"/>
    <w:rsid w:val="00BF5E1C"/>
    <w:rsid w:val="00C459C3"/>
    <w:rsid w:val="00C71C5F"/>
    <w:rsid w:val="00CD1573"/>
    <w:rsid w:val="00CD38AF"/>
    <w:rsid w:val="00CE002B"/>
    <w:rsid w:val="00CE1E85"/>
    <w:rsid w:val="00CF33AB"/>
    <w:rsid w:val="00D272C0"/>
    <w:rsid w:val="00D37DF6"/>
    <w:rsid w:val="00D421C2"/>
    <w:rsid w:val="00D90143"/>
    <w:rsid w:val="00DA6D33"/>
    <w:rsid w:val="00DC18B9"/>
    <w:rsid w:val="00DC2E20"/>
    <w:rsid w:val="00DD1003"/>
    <w:rsid w:val="00E1604A"/>
    <w:rsid w:val="00E26992"/>
    <w:rsid w:val="00E323F2"/>
    <w:rsid w:val="00E52813"/>
    <w:rsid w:val="00E62DE3"/>
    <w:rsid w:val="00E63AF1"/>
    <w:rsid w:val="00E666DE"/>
    <w:rsid w:val="00E66CD8"/>
    <w:rsid w:val="00E86CE9"/>
    <w:rsid w:val="00E94E68"/>
    <w:rsid w:val="00EA1316"/>
    <w:rsid w:val="00EA31EF"/>
    <w:rsid w:val="00EC07FE"/>
    <w:rsid w:val="00EC3BE4"/>
    <w:rsid w:val="00ED6F73"/>
    <w:rsid w:val="00EF5696"/>
    <w:rsid w:val="00EF6621"/>
    <w:rsid w:val="00F63E9A"/>
    <w:rsid w:val="00FC2217"/>
    <w:rsid w:val="00FC4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7E8BF"/>
  <w15:docId w15:val="{B99257DC-873A-4EE0-9E69-7515B030C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05D9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5D99"/>
  </w:style>
  <w:style w:type="paragraph" w:styleId="Footer">
    <w:name w:val="footer"/>
    <w:basedOn w:val="Normal"/>
    <w:link w:val="FooterChar"/>
    <w:uiPriority w:val="99"/>
    <w:semiHidden/>
    <w:unhideWhenUsed/>
    <w:rsid w:val="00805D9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05D99"/>
  </w:style>
  <w:style w:type="paragraph" w:styleId="NormalWeb">
    <w:name w:val="Normal (Web)"/>
    <w:basedOn w:val="Normal"/>
    <w:uiPriority w:val="99"/>
    <w:unhideWhenUsed/>
    <w:rsid w:val="001D0828"/>
    <w:pPr>
      <w:spacing w:after="150" w:line="240" w:lineRule="auto"/>
    </w:pPr>
    <w:rPr>
      <w:rFonts w:ascii="Times New Roman" w:eastAsia="Times New Roman" w:hAnsi="Times New Roman" w:cs="Times New Roman"/>
      <w:sz w:val="24"/>
      <w:szCs w:val="24"/>
    </w:rPr>
  </w:style>
  <w:style w:type="paragraph" w:customStyle="1" w:styleId="Default">
    <w:name w:val="Default"/>
    <w:rsid w:val="00A9651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Num">
    <w:name w:val="ParaNum"/>
    <w:basedOn w:val="Normal"/>
    <w:rsid w:val="00811E57"/>
    <w:pPr>
      <w:widowControl w:val="0"/>
      <w:numPr>
        <w:numId w:val="1"/>
      </w:numPr>
      <w:tabs>
        <w:tab w:val="left" w:pos="1440"/>
      </w:tabs>
      <w:spacing w:after="220" w:line="240" w:lineRule="auto"/>
      <w:jc w:val="both"/>
    </w:pPr>
    <w:rPr>
      <w:rFonts w:ascii="Times New Roman" w:eastAsia="Times New Roman" w:hAnsi="Times New Roman" w:cs="Times New Roman"/>
      <w:szCs w:val="20"/>
    </w:rPr>
  </w:style>
  <w:style w:type="character" w:customStyle="1" w:styleId="documentbody1">
    <w:name w:val="documentbody1"/>
    <w:basedOn w:val="DefaultParagraphFont"/>
    <w:rsid w:val="00811E57"/>
    <w:rPr>
      <w:rFonts w:ascii="Verdana" w:hAnsi="Verdana" w:hint="default"/>
      <w:sz w:val="19"/>
      <w:szCs w:val="19"/>
      <w:shd w:val="clear" w:color="auto" w:fill="FFFFFF"/>
    </w:rPr>
  </w:style>
  <w:style w:type="paragraph" w:styleId="FootnoteText">
    <w:name w:val="footnote text"/>
    <w:aliases w:val="Footnote Text Char1,ALTS FOOTNOTE Char1,fn Char1,Footnote Text Char Char,ALTS FOOTNOTE Char Char,fn Char Char,Footnote Text Char1 Char Char,Footnote Text Char Char Char Char,Footnote Text Char2 Char Char Char Char,ALTS FOOTNOTE,fn,fn Char"/>
    <w:basedOn w:val="Normal"/>
    <w:link w:val="FootnoteTextChar"/>
    <w:semiHidden/>
    <w:rsid w:val="00811E57"/>
    <w:pPr>
      <w:tabs>
        <w:tab w:val="left" w:pos="180"/>
        <w:tab w:val="left" w:pos="720"/>
        <w:tab w:val="left" w:pos="1440"/>
        <w:tab w:val="left" w:pos="2160"/>
      </w:tabs>
      <w:spacing w:after="120" w:line="240" w:lineRule="auto"/>
      <w:jc w:val="both"/>
    </w:pPr>
    <w:rPr>
      <w:rFonts w:ascii="Times New Roman" w:eastAsia="Times New Roman" w:hAnsi="Times New Roman" w:cs="Times New Roman"/>
      <w:sz w:val="20"/>
      <w:szCs w:val="20"/>
    </w:rPr>
  </w:style>
  <w:style w:type="character" w:customStyle="1" w:styleId="FootnoteTextChar">
    <w:name w:val="Footnote Text Char"/>
    <w:aliases w:val="Footnote Text Char1 Char,ALTS FOOTNOTE Char1 Char,fn Char1 Char,Footnote Text Char Char Char,ALTS FOOTNOTE Char Char Char,fn Char Char Char,Footnote Text Char1 Char Char Char,Footnote Text Char Char Char Char Char,ALTS FOOTNOTE Char"/>
    <w:basedOn w:val="DefaultParagraphFont"/>
    <w:link w:val="FootnoteText"/>
    <w:rsid w:val="00811E57"/>
    <w:rPr>
      <w:rFonts w:ascii="Times New Roman" w:eastAsia="Times New Roman" w:hAnsi="Times New Roman" w:cs="Times New Roman"/>
      <w:sz w:val="20"/>
      <w:szCs w:val="20"/>
    </w:rPr>
  </w:style>
  <w:style w:type="character" w:styleId="FootnoteReference">
    <w:name w:val="footnote reference"/>
    <w:basedOn w:val="DefaultParagraphFont"/>
    <w:semiHidden/>
    <w:rsid w:val="00811E57"/>
    <w:rPr>
      <w:vertAlign w:val="superscript"/>
    </w:rPr>
  </w:style>
  <w:style w:type="paragraph" w:styleId="PlainText">
    <w:name w:val="Plain Text"/>
    <w:basedOn w:val="Normal"/>
    <w:link w:val="PlainTextChar"/>
    <w:uiPriority w:val="99"/>
    <w:semiHidden/>
    <w:unhideWhenUsed/>
    <w:rsid w:val="0000258D"/>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00258D"/>
    <w:rPr>
      <w:rFonts w:ascii="Consolas" w:hAnsi="Consolas" w:cs="Consolas"/>
      <w:sz w:val="21"/>
      <w:szCs w:val="21"/>
    </w:rPr>
  </w:style>
  <w:style w:type="table" w:styleId="TableGrid">
    <w:name w:val="Table Grid"/>
    <w:basedOn w:val="TableNormal"/>
    <w:uiPriority w:val="59"/>
    <w:rsid w:val="0058091D"/>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0BE9"/>
    <w:rPr>
      <w:color w:val="0000FF" w:themeColor="hyperlink"/>
      <w:u w:val="single"/>
    </w:rPr>
  </w:style>
  <w:style w:type="paragraph" w:styleId="BalloonText">
    <w:name w:val="Balloon Text"/>
    <w:basedOn w:val="Normal"/>
    <w:link w:val="BalloonTextChar"/>
    <w:uiPriority w:val="99"/>
    <w:semiHidden/>
    <w:unhideWhenUsed/>
    <w:rsid w:val="000E38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8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1000">
      <w:bodyDiv w:val="1"/>
      <w:marLeft w:val="0"/>
      <w:marRight w:val="0"/>
      <w:marTop w:val="0"/>
      <w:marBottom w:val="0"/>
      <w:divBdr>
        <w:top w:val="none" w:sz="0" w:space="0" w:color="auto"/>
        <w:left w:val="none" w:sz="0" w:space="0" w:color="auto"/>
        <w:bottom w:val="none" w:sz="0" w:space="0" w:color="auto"/>
        <w:right w:val="none" w:sz="0" w:space="0" w:color="auto"/>
      </w:divBdr>
    </w:div>
    <w:div w:id="293684908">
      <w:bodyDiv w:val="1"/>
      <w:marLeft w:val="0"/>
      <w:marRight w:val="0"/>
      <w:marTop w:val="0"/>
      <w:marBottom w:val="0"/>
      <w:divBdr>
        <w:top w:val="none" w:sz="0" w:space="0" w:color="auto"/>
        <w:left w:val="none" w:sz="0" w:space="0" w:color="auto"/>
        <w:bottom w:val="none" w:sz="0" w:space="0" w:color="auto"/>
        <w:right w:val="none" w:sz="0" w:space="0" w:color="auto"/>
      </w:divBdr>
      <w:divsChild>
        <w:div w:id="1682317308">
          <w:marLeft w:val="0"/>
          <w:marRight w:val="0"/>
          <w:marTop w:val="0"/>
          <w:marBottom w:val="0"/>
          <w:divBdr>
            <w:top w:val="none" w:sz="0" w:space="0" w:color="auto"/>
            <w:left w:val="none" w:sz="0" w:space="0" w:color="auto"/>
            <w:bottom w:val="none" w:sz="0" w:space="0" w:color="auto"/>
            <w:right w:val="none" w:sz="0" w:space="0" w:color="auto"/>
          </w:divBdr>
          <w:divsChild>
            <w:div w:id="666791669">
              <w:marLeft w:val="0"/>
              <w:marRight w:val="0"/>
              <w:marTop w:val="0"/>
              <w:marBottom w:val="0"/>
              <w:divBdr>
                <w:top w:val="none" w:sz="0" w:space="0" w:color="auto"/>
                <w:left w:val="none" w:sz="0" w:space="0" w:color="auto"/>
                <w:bottom w:val="none" w:sz="0" w:space="0" w:color="auto"/>
                <w:right w:val="none" w:sz="0" w:space="0" w:color="auto"/>
              </w:divBdr>
              <w:divsChild>
                <w:div w:id="444545186">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harwood@esc12.ne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3</Pages>
  <Words>609</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Education Service Center Region 12</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Cathey George</dc:creator>
  <cp:lastModifiedBy>Ginnie Harwood</cp:lastModifiedBy>
  <cp:revision>11</cp:revision>
  <cp:lastPrinted>2019-11-05T15:34:00Z</cp:lastPrinted>
  <dcterms:created xsi:type="dcterms:W3CDTF">2019-11-04T18:52:00Z</dcterms:created>
  <dcterms:modified xsi:type="dcterms:W3CDTF">2019-11-05T16:15:00Z</dcterms:modified>
</cp:coreProperties>
</file>