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D3F" w:rsidRDefault="00385B6E" w:rsidP="00EE4D3F">
      <w:bookmarkStart w:id="0" w:name="_GoBack"/>
      <w:bookmarkEnd w:id="0"/>
      <w:r w:rsidRPr="003D6F86">
        <w:t>November 6</w:t>
      </w:r>
      <w:r w:rsidR="00B944A6" w:rsidRPr="003D6F86">
        <w:t>,</w:t>
      </w:r>
      <w:r w:rsidR="004B731B">
        <w:t xml:space="preserve"> 2017</w:t>
      </w:r>
    </w:p>
    <w:p w:rsidR="00205A00" w:rsidRDefault="00205A00" w:rsidP="00EE4D3F">
      <w:pPr>
        <w:tabs>
          <w:tab w:val="left" w:pos="0"/>
        </w:tabs>
        <w:rPr>
          <w:rFonts w:ascii="Calibri" w:hAnsi="Calibri"/>
          <w:i/>
          <w:sz w:val="24"/>
          <w:szCs w:val="24"/>
        </w:rPr>
      </w:pPr>
    </w:p>
    <w:p w:rsidR="00385B6E" w:rsidRDefault="00EE4D3F" w:rsidP="00EE4D3F">
      <w:pPr>
        <w:tabs>
          <w:tab w:val="left" w:pos="0"/>
        </w:tabs>
      </w:pPr>
      <w:r w:rsidRPr="0061559C">
        <w:rPr>
          <w:rFonts w:ascii="Calibri" w:hAnsi="Calibri"/>
          <w:i/>
          <w:sz w:val="24"/>
          <w:szCs w:val="24"/>
        </w:rPr>
        <w:t xml:space="preserve">Submitted </w:t>
      </w:r>
      <w:r w:rsidR="00385B6E">
        <w:rPr>
          <w:rFonts w:ascii="Calibri" w:hAnsi="Calibri"/>
          <w:i/>
          <w:sz w:val="24"/>
          <w:szCs w:val="24"/>
        </w:rPr>
        <w:t xml:space="preserve">electronically via: </w:t>
      </w:r>
      <w:hyperlink r:id="rId7" w:history="1">
        <w:r w:rsidR="00385B6E" w:rsidRPr="00975D3E">
          <w:rPr>
            <w:rStyle w:val="Hyperlink"/>
          </w:rPr>
          <w:t>http://www.fcc.gov/ecfs/</w:t>
        </w:r>
      </w:hyperlink>
    </w:p>
    <w:p w:rsidR="00EE4D3F" w:rsidRDefault="002F0A24" w:rsidP="00EE4D3F">
      <w:pPr>
        <w:pStyle w:val="NoSpacing"/>
        <w:rPr>
          <w:sz w:val="24"/>
          <w:szCs w:val="24"/>
        </w:rPr>
      </w:pPr>
      <w:r>
        <w:rPr>
          <w:sz w:val="24"/>
          <w:szCs w:val="24"/>
        </w:rPr>
        <w:t>Marlene H. Dortch</w:t>
      </w:r>
    </w:p>
    <w:p w:rsidR="002F0A24" w:rsidRDefault="002F0A24" w:rsidP="00EE4D3F">
      <w:pPr>
        <w:pStyle w:val="NoSpacing"/>
        <w:rPr>
          <w:sz w:val="24"/>
          <w:szCs w:val="24"/>
        </w:rPr>
      </w:pPr>
      <w:r>
        <w:rPr>
          <w:sz w:val="24"/>
          <w:szCs w:val="24"/>
        </w:rPr>
        <w:t>Secretary</w:t>
      </w:r>
    </w:p>
    <w:p w:rsidR="00A450C7" w:rsidRDefault="00A450C7" w:rsidP="00EE4D3F">
      <w:pPr>
        <w:pStyle w:val="NoSpacing"/>
        <w:rPr>
          <w:sz w:val="24"/>
          <w:szCs w:val="24"/>
        </w:rPr>
      </w:pPr>
      <w:r>
        <w:rPr>
          <w:sz w:val="24"/>
          <w:szCs w:val="24"/>
        </w:rPr>
        <w:t>Federal Communications Commission</w:t>
      </w:r>
    </w:p>
    <w:p w:rsidR="00EE4D3F" w:rsidRDefault="00A450C7" w:rsidP="00EE4D3F">
      <w:pPr>
        <w:pStyle w:val="NoSpacing"/>
        <w:rPr>
          <w:sz w:val="24"/>
          <w:szCs w:val="24"/>
        </w:rPr>
      </w:pPr>
      <w:r>
        <w:rPr>
          <w:sz w:val="24"/>
          <w:szCs w:val="24"/>
        </w:rPr>
        <w:t>445 12</w:t>
      </w:r>
      <w:r w:rsidRPr="00A450C7">
        <w:rPr>
          <w:sz w:val="24"/>
          <w:szCs w:val="24"/>
          <w:vertAlign w:val="superscript"/>
        </w:rPr>
        <w:t>th</w:t>
      </w:r>
      <w:r>
        <w:rPr>
          <w:sz w:val="24"/>
          <w:szCs w:val="24"/>
        </w:rPr>
        <w:t xml:space="preserve"> Street SW, </w:t>
      </w:r>
    </w:p>
    <w:p w:rsidR="00EE4D3F" w:rsidRPr="0061559C" w:rsidRDefault="00EE4D3F" w:rsidP="00EE4D3F">
      <w:pPr>
        <w:pStyle w:val="NoSpacing"/>
        <w:rPr>
          <w:sz w:val="24"/>
          <w:szCs w:val="24"/>
        </w:rPr>
      </w:pPr>
      <w:r>
        <w:rPr>
          <w:sz w:val="24"/>
          <w:szCs w:val="24"/>
        </w:rPr>
        <w:t>Washington, D</w:t>
      </w:r>
      <w:r w:rsidR="0018596F">
        <w:rPr>
          <w:sz w:val="24"/>
          <w:szCs w:val="24"/>
        </w:rPr>
        <w:t>.</w:t>
      </w:r>
      <w:r>
        <w:rPr>
          <w:sz w:val="24"/>
          <w:szCs w:val="24"/>
        </w:rPr>
        <w:t>C</w:t>
      </w:r>
      <w:r w:rsidR="0018596F">
        <w:rPr>
          <w:sz w:val="24"/>
          <w:szCs w:val="24"/>
        </w:rPr>
        <w:t>.</w:t>
      </w:r>
      <w:r>
        <w:rPr>
          <w:sz w:val="24"/>
          <w:szCs w:val="24"/>
        </w:rPr>
        <w:t xml:space="preserve"> 20</w:t>
      </w:r>
      <w:r w:rsidR="00A450C7">
        <w:rPr>
          <w:sz w:val="24"/>
          <w:szCs w:val="24"/>
        </w:rPr>
        <w:t>554</w:t>
      </w:r>
    </w:p>
    <w:p w:rsidR="00EE4D3F" w:rsidRDefault="00EE4D3F" w:rsidP="00EE4D3F">
      <w:pPr>
        <w:pStyle w:val="NoSpacing"/>
        <w:rPr>
          <w:sz w:val="24"/>
          <w:szCs w:val="24"/>
        </w:rPr>
      </w:pPr>
    </w:p>
    <w:p w:rsidR="00EE4D3F" w:rsidRPr="0061559C" w:rsidRDefault="00EE4D3F" w:rsidP="00EE4D3F">
      <w:pPr>
        <w:pStyle w:val="NoSpacing"/>
        <w:rPr>
          <w:sz w:val="24"/>
          <w:szCs w:val="24"/>
        </w:rPr>
      </w:pPr>
    </w:p>
    <w:p w:rsidR="00EE4D3F" w:rsidRPr="0061559C" w:rsidRDefault="00EE4D3F" w:rsidP="00EE4D3F">
      <w:pPr>
        <w:pStyle w:val="NoSpacing"/>
        <w:ind w:left="720"/>
        <w:rPr>
          <w:b/>
          <w:sz w:val="24"/>
          <w:szCs w:val="24"/>
        </w:rPr>
      </w:pPr>
      <w:r w:rsidRPr="0061559C">
        <w:rPr>
          <w:b/>
          <w:sz w:val="24"/>
          <w:szCs w:val="24"/>
        </w:rPr>
        <w:t xml:space="preserve">RE: </w:t>
      </w:r>
      <w:r w:rsidR="00344349">
        <w:rPr>
          <w:b/>
          <w:sz w:val="24"/>
          <w:szCs w:val="24"/>
        </w:rPr>
        <w:t>Credit Union National Association’s Petition for Declaratory Ruling</w:t>
      </w:r>
    </w:p>
    <w:p w:rsidR="00EE4D3F" w:rsidRDefault="00EE4D3F" w:rsidP="00031DF3"/>
    <w:p w:rsidR="00EE4D3F" w:rsidRPr="00C80626" w:rsidRDefault="002F0A24" w:rsidP="00031DF3">
      <w:r>
        <w:t>Dear Ms. Dortch</w:t>
      </w:r>
      <w:r w:rsidR="00EE4D3F" w:rsidRPr="00C80626">
        <w:t>,</w:t>
      </w:r>
    </w:p>
    <w:p w:rsidR="002F0A24" w:rsidRDefault="004B731B" w:rsidP="002F0A24">
      <w:pPr>
        <w:pStyle w:val="NoSpacing"/>
        <w:rPr>
          <w:sz w:val="24"/>
          <w:szCs w:val="24"/>
        </w:rPr>
      </w:pPr>
      <w:r>
        <w:rPr>
          <w:sz w:val="24"/>
          <w:szCs w:val="24"/>
        </w:rPr>
        <w:t>On behalf of Minnesota’s credit unions, p</w:t>
      </w:r>
      <w:r w:rsidR="00807C9C" w:rsidRPr="00C80626">
        <w:rPr>
          <w:sz w:val="24"/>
          <w:szCs w:val="24"/>
        </w:rPr>
        <w:t>lease accept this</w:t>
      </w:r>
      <w:r w:rsidR="00F27B1D">
        <w:rPr>
          <w:sz w:val="24"/>
          <w:szCs w:val="24"/>
        </w:rPr>
        <w:t xml:space="preserve"> correspondence in</w:t>
      </w:r>
      <w:r w:rsidR="00807C9C" w:rsidRPr="00C80626">
        <w:rPr>
          <w:sz w:val="24"/>
          <w:szCs w:val="24"/>
        </w:rPr>
        <w:t xml:space="preserve"> </w:t>
      </w:r>
      <w:r w:rsidR="002F0A24">
        <w:rPr>
          <w:sz w:val="24"/>
          <w:szCs w:val="24"/>
        </w:rPr>
        <w:t>support of the petition (the “Petition”) filed by Credit Union National Association (“CUNA”)</w:t>
      </w:r>
      <w:r w:rsidR="00897DC0">
        <w:rPr>
          <w:sz w:val="24"/>
          <w:szCs w:val="24"/>
        </w:rPr>
        <w:t>,</w:t>
      </w:r>
      <w:r w:rsidR="002F0A24">
        <w:rPr>
          <w:sz w:val="24"/>
          <w:szCs w:val="24"/>
        </w:rPr>
        <w:t xml:space="preserve"> requesting a business relationship exemption</w:t>
      </w:r>
      <w:r w:rsidR="00303C96">
        <w:rPr>
          <w:sz w:val="24"/>
          <w:szCs w:val="24"/>
        </w:rPr>
        <w:t xml:space="preserve"> for credit unions</w:t>
      </w:r>
      <w:r w:rsidR="002F0A24">
        <w:rPr>
          <w:sz w:val="24"/>
          <w:szCs w:val="24"/>
        </w:rPr>
        <w:t xml:space="preserve"> from the Telephone Consumer Protection Act (“TCPA”).</w:t>
      </w:r>
      <w:r w:rsidR="00082129">
        <w:rPr>
          <w:sz w:val="24"/>
          <w:szCs w:val="24"/>
        </w:rPr>
        <w:t xml:space="preserve"> The Minnesota Credit Union Network (</w:t>
      </w:r>
      <w:r w:rsidR="001B5093">
        <w:rPr>
          <w:sz w:val="24"/>
          <w:szCs w:val="24"/>
        </w:rPr>
        <w:t>“</w:t>
      </w:r>
      <w:r w:rsidR="00082129">
        <w:rPr>
          <w:sz w:val="24"/>
          <w:szCs w:val="24"/>
        </w:rPr>
        <w:t>MnCUN</w:t>
      </w:r>
      <w:r w:rsidR="001B5093">
        <w:rPr>
          <w:sz w:val="24"/>
          <w:szCs w:val="24"/>
        </w:rPr>
        <w:t>"</w:t>
      </w:r>
      <w:r w:rsidR="00082129">
        <w:rPr>
          <w:sz w:val="24"/>
          <w:szCs w:val="24"/>
        </w:rPr>
        <w:t xml:space="preserve">) represents the interests of </w:t>
      </w:r>
      <w:r w:rsidR="000006DF">
        <w:rPr>
          <w:sz w:val="24"/>
          <w:szCs w:val="24"/>
        </w:rPr>
        <w:t>Minnesota’s 115 credit unions and their 1.</w:t>
      </w:r>
      <w:r w:rsidR="00897DC0">
        <w:rPr>
          <w:sz w:val="24"/>
          <w:szCs w:val="24"/>
        </w:rPr>
        <w:t>7</w:t>
      </w:r>
      <w:r w:rsidR="000006DF">
        <w:rPr>
          <w:sz w:val="24"/>
          <w:szCs w:val="24"/>
        </w:rPr>
        <w:t xml:space="preserve"> million members. MnCUN thanks you for the opportunity to provide a response regarding CUNA’s Petition.</w:t>
      </w:r>
      <w:r w:rsidR="00823DA9">
        <w:rPr>
          <w:sz w:val="24"/>
          <w:szCs w:val="24"/>
        </w:rPr>
        <w:t xml:space="preserve"> </w:t>
      </w:r>
    </w:p>
    <w:p w:rsidR="000006DF" w:rsidRDefault="000006DF" w:rsidP="002F0A24">
      <w:pPr>
        <w:pStyle w:val="NoSpacing"/>
        <w:rPr>
          <w:sz w:val="24"/>
          <w:szCs w:val="24"/>
        </w:rPr>
      </w:pPr>
    </w:p>
    <w:p w:rsidR="00726EE6" w:rsidRDefault="007F2F2B" w:rsidP="00726EE6">
      <w:pPr>
        <w:pStyle w:val="NoSpacing"/>
        <w:rPr>
          <w:sz w:val="24"/>
          <w:szCs w:val="24"/>
        </w:rPr>
      </w:pPr>
      <w:r>
        <w:rPr>
          <w:sz w:val="24"/>
          <w:szCs w:val="24"/>
        </w:rPr>
        <w:t xml:space="preserve">We strongly support efforts to protect consumers. </w:t>
      </w:r>
      <w:r w:rsidR="001B5093">
        <w:rPr>
          <w:sz w:val="24"/>
          <w:szCs w:val="24"/>
        </w:rPr>
        <w:t>Every day, Minnesota’s credit unions provide services and education focused on protecting consumers and improving their members’ financial lives. C</w:t>
      </w:r>
      <w:r w:rsidR="00710AFB">
        <w:rPr>
          <w:sz w:val="24"/>
          <w:szCs w:val="24"/>
        </w:rPr>
        <w:t>redit u</w:t>
      </w:r>
      <w:r w:rsidR="00303C96">
        <w:rPr>
          <w:sz w:val="24"/>
          <w:szCs w:val="24"/>
        </w:rPr>
        <w:t>nions provide such services</w:t>
      </w:r>
      <w:r w:rsidR="00710AFB">
        <w:rPr>
          <w:sz w:val="24"/>
          <w:szCs w:val="24"/>
        </w:rPr>
        <w:t>,</w:t>
      </w:r>
      <w:r w:rsidR="000006DF">
        <w:rPr>
          <w:sz w:val="24"/>
          <w:szCs w:val="24"/>
        </w:rPr>
        <w:t xml:space="preserve"> not for profit, but because </w:t>
      </w:r>
      <w:r w:rsidR="001B5093">
        <w:rPr>
          <w:sz w:val="24"/>
          <w:szCs w:val="24"/>
        </w:rPr>
        <w:t xml:space="preserve">they adhere to the cooperative principles. </w:t>
      </w:r>
      <w:r w:rsidR="00FC1F0C">
        <w:rPr>
          <w:sz w:val="24"/>
          <w:szCs w:val="24"/>
        </w:rPr>
        <w:t>If communication is hindered, then so is the ability to provide these services. The TCPA, as it is applied today,</w:t>
      </w:r>
      <w:r w:rsidR="00303C96">
        <w:rPr>
          <w:sz w:val="24"/>
          <w:szCs w:val="24"/>
        </w:rPr>
        <w:t xml:space="preserve"> has create</w:t>
      </w:r>
      <w:r w:rsidR="00897DC0">
        <w:rPr>
          <w:sz w:val="24"/>
          <w:szCs w:val="24"/>
        </w:rPr>
        <w:t>d</w:t>
      </w:r>
      <w:r w:rsidR="00303C96">
        <w:rPr>
          <w:sz w:val="24"/>
          <w:szCs w:val="24"/>
        </w:rPr>
        <w:t xml:space="preserve"> </w:t>
      </w:r>
      <w:r w:rsidR="00BE25E0">
        <w:rPr>
          <w:sz w:val="24"/>
          <w:szCs w:val="24"/>
        </w:rPr>
        <w:t>substantial and unnecessary hindr</w:t>
      </w:r>
      <w:r w:rsidR="00726EE6">
        <w:rPr>
          <w:sz w:val="24"/>
          <w:szCs w:val="24"/>
        </w:rPr>
        <w:t>ances to credit unions’ abilit</w:t>
      </w:r>
      <w:r w:rsidR="007E0DEA">
        <w:rPr>
          <w:sz w:val="24"/>
          <w:szCs w:val="24"/>
        </w:rPr>
        <w:t>ies</w:t>
      </w:r>
      <w:r w:rsidR="00726EE6">
        <w:rPr>
          <w:sz w:val="24"/>
          <w:szCs w:val="24"/>
        </w:rPr>
        <w:t xml:space="preserve"> to communicate with their members.</w:t>
      </w:r>
      <w:r w:rsidR="00823DA9">
        <w:rPr>
          <w:sz w:val="24"/>
          <w:szCs w:val="24"/>
        </w:rPr>
        <w:t xml:space="preserve"> </w:t>
      </w:r>
      <w:r w:rsidR="00726EE6">
        <w:rPr>
          <w:sz w:val="24"/>
          <w:szCs w:val="24"/>
        </w:rPr>
        <w:t xml:space="preserve">We </w:t>
      </w:r>
      <w:r w:rsidR="00984BB0">
        <w:rPr>
          <w:sz w:val="24"/>
          <w:szCs w:val="24"/>
        </w:rPr>
        <w:t xml:space="preserve">fully </w:t>
      </w:r>
      <w:r w:rsidR="00726EE6">
        <w:rPr>
          <w:sz w:val="24"/>
          <w:szCs w:val="24"/>
        </w:rPr>
        <w:t xml:space="preserve">support CUNA’s Petition </w:t>
      </w:r>
      <w:r w:rsidR="00823DA9">
        <w:rPr>
          <w:sz w:val="24"/>
          <w:szCs w:val="24"/>
        </w:rPr>
        <w:t xml:space="preserve">and </w:t>
      </w:r>
      <w:r w:rsidR="00726EE6">
        <w:rPr>
          <w:sz w:val="24"/>
          <w:szCs w:val="24"/>
        </w:rPr>
        <w:t>would like to bring</w:t>
      </w:r>
      <w:r w:rsidR="00303C96">
        <w:rPr>
          <w:sz w:val="24"/>
          <w:szCs w:val="24"/>
        </w:rPr>
        <w:t xml:space="preserve"> to your attention </w:t>
      </w:r>
      <w:r w:rsidR="00823DA9">
        <w:rPr>
          <w:sz w:val="24"/>
          <w:szCs w:val="24"/>
        </w:rPr>
        <w:t xml:space="preserve">to </w:t>
      </w:r>
      <w:r w:rsidR="00303C96">
        <w:rPr>
          <w:sz w:val="24"/>
          <w:szCs w:val="24"/>
        </w:rPr>
        <w:t>some additional</w:t>
      </w:r>
      <w:r w:rsidR="00984BB0">
        <w:rPr>
          <w:sz w:val="24"/>
          <w:szCs w:val="24"/>
        </w:rPr>
        <w:t xml:space="preserve"> issues we feel exist with the</w:t>
      </w:r>
      <w:r w:rsidR="00726EE6">
        <w:rPr>
          <w:sz w:val="24"/>
          <w:szCs w:val="24"/>
        </w:rPr>
        <w:t xml:space="preserve"> TCPA</w:t>
      </w:r>
      <w:r w:rsidR="00303C96">
        <w:rPr>
          <w:sz w:val="24"/>
          <w:szCs w:val="24"/>
        </w:rPr>
        <w:t>.</w:t>
      </w:r>
      <w:r w:rsidR="00823DA9">
        <w:rPr>
          <w:sz w:val="24"/>
          <w:szCs w:val="24"/>
        </w:rPr>
        <w:t xml:space="preserve"> </w:t>
      </w:r>
      <w:r w:rsidR="00303C96">
        <w:rPr>
          <w:sz w:val="24"/>
          <w:szCs w:val="24"/>
        </w:rPr>
        <w:t xml:space="preserve">We respectfully request that </w:t>
      </w:r>
      <w:r w:rsidR="00726EE6">
        <w:rPr>
          <w:sz w:val="24"/>
          <w:szCs w:val="24"/>
        </w:rPr>
        <w:t>the Federal Co</w:t>
      </w:r>
      <w:r w:rsidR="00303C96">
        <w:rPr>
          <w:sz w:val="24"/>
          <w:szCs w:val="24"/>
        </w:rPr>
        <w:t>mmunications Commission (“FCC”)</w:t>
      </w:r>
      <w:r w:rsidR="00984BB0">
        <w:rPr>
          <w:sz w:val="24"/>
          <w:szCs w:val="24"/>
        </w:rPr>
        <w:t xml:space="preserve"> use</w:t>
      </w:r>
      <w:r w:rsidR="00303C96">
        <w:rPr>
          <w:sz w:val="24"/>
          <w:szCs w:val="24"/>
        </w:rPr>
        <w:t xml:space="preserve"> its authority to grant the requests </w:t>
      </w:r>
      <w:r w:rsidR="00984BB0">
        <w:rPr>
          <w:sz w:val="24"/>
          <w:szCs w:val="24"/>
        </w:rPr>
        <w:t>of CUNA’s Petitio</w:t>
      </w:r>
      <w:r w:rsidR="00897DC0">
        <w:rPr>
          <w:sz w:val="24"/>
          <w:szCs w:val="24"/>
        </w:rPr>
        <w:t>n as well as our requests</w:t>
      </w:r>
      <w:r w:rsidR="00984BB0">
        <w:rPr>
          <w:sz w:val="24"/>
          <w:szCs w:val="24"/>
        </w:rPr>
        <w:t xml:space="preserve"> below</w:t>
      </w:r>
      <w:r w:rsidR="00726EE6">
        <w:rPr>
          <w:sz w:val="24"/>
          <w:szCs w:val="24"/>
        </w:rPr>
        <w:t>.</w:t>
      </w:r>
      <w:r w:rsidR="00823DA9">
        <w:rPr>
          <w:sz w:val="24"/>
          <w:szCs w:val="24"/>
        </w:rPr>
        <w:t xml:space="preserve"> </w:t>
      </w:r>
    </w:p>
    <w:p w:rsidR="00A630D6" w:rsidRDefault="00A630D6" w:rsidP="00726EE6">
      <w:pPr>
        <w:pStyle w:val="NoSpacing"/>
        <w:rPr>
          <w:sz w:val="24"/>
          <w:szCs w:val="24"/>
        </w:rPr>
      </w:pPr>
    </w:p>
    <w:p w:rsidR="00303C96" w:rsidRPr="003D6F86" w:rsidRDefault="00303C96" w:rsidP="00726EE6">
      <w:pPr>
        <w:pStyle w:val="NoSpacing"/>
        <w:rPr>
          <w:b/>
          <w:sz w:val="24"/>
          <w:szCs w:val="24"/>
        </w:rPr>
      </w:pPr>
      <w:r w:rsidRPr="003D6F86">
        <w:rPr>
          <w:b/>
          <w:sz w:val="24"/>
          <w:szCs w:val="24"/>
        </w:rPr>
        <w:t>Credit Unions are unlike other types of financial institutions</w:t>
      </w:r>
    </w:p>
    <w:p w:rsidR="00303C96" w:rsidRPr="00303C96" w:rsidRDefault="00303C96" w:rsidP="00726EE6">
      <w:pPr>
        <w:pStyle w:val="NoSpacing"/>
        <w:rPr>
          <w:sz w:val="24"/>
          <w:szCs w:val="24"/>
          <w:u w:val="single"/>
        </w:rPr>
      </w:pPr>
    </w:p>
    <w:p w:rsidR="002E0932" w:rsidRDefault="00823DA9" w:rsidP="00726EE6">
      <w:pPr>
        <w:pStyle w:val="NoSpacing"/>
        <w:rPr>
          <w:sz w:val="24"/>
          <w:szCs w:val="24"/>
        </w:rPr>
      </w:pPr>
      <w:r>
        <w:rPr>
          <w:sz w:val="24"/>
          <w:szCs w:val="24"/>
        </w:rPr>
        <w:t>T</w:t>
      </w:r>
      <w:r w:rsidR="00A630D6">
        <w:rPr>
          <w:sz w:val="24"/>
          <w:szCs w:val="24"/>
        </w:rPr>
        <w:t xml:space="preserve">he relationship between credit unions and their members is unique from the relationship that </w:t>
      </w:r>
      <w:r w:rsidR="00303C96">
        <w:rPr>
          <w:sz w:val="24"/>
          <w:szCs w:val="24"/>
        </w:rPr>
        <w:t xml:space="preserve">other types of </w:t>
      </w:r>
      <w:r w:rsidR="00A630D6">
        <w:rPr>
          <w:sz w:val="24"/>
          <w:szCs w:val="24"/>
        </w:rPr>
        <w:t>financial institutions</w:t>
      </w:r>
      <w:r w:rsidR="00984BB0">
        <w:rPr>
          <w:sz w:val="24"/>
          <w:szCs w:val="24"/>
        </w:rPr>
        <w:t xml:space="preserve"> </w:t>
      </w:r>
      <w:r w:rsidR="00060DA0">
        <w:rPr>
          <w:sz w:val="24"/>
          <w:szCs w:val="24"/>
        </w:rPr>
        <w:t xml:space="preserve">have with </w:t>
      </w:r>
      <w:r w:rsidR="00984BB0">
        <w:rPr>
          <w:sz w:val="24"/>
          <w:szCs w:val="24"/>
        </w:rPr>
        <w:t xml:space="preserve">consumers. Members of credit unions are not only </w:t>
      </w:r>
      <w:r w:rsidR="001F4C1C">
        <w:rPr>
          <w:sz w:val="24"/>
          <w:szCs w:val="24"/>
        </w:rPr>
        <w:t>consumers of credit union products</w:t>
      </w:r>
      <w:r w:rsidR="00303C96">
        <w:rPr>
          <w:sz w:val="24"/>
          <w:szCs w:val="24"/>
        </w:rPr>
        <w:t xml:space="preserve"> and services</w:t>
      </w:r>
      <w:r w:rsidR="001F4C1C">
        <w:rPr>
          <w:sz w:val="24"/>
          <w:szCs w:val="24"/>
        </w:rPr>
        <w:t xml:space="preserve">, they are </w:t>
      </w:r>
      <w:r w:rsidR="002E0932">
        <w:rPr>
          <w:sz w:val="24"/>
          <w:szCs w:val="24"/>
        </w:rPr>
        <w:t xml:space="preserve">also </w:t>
      </w:r>
      <w:r w:rsidR="001F4C1C">
        <w:rPr>
          <w:sz w:val="24"/>
          <w:szCs w:val="24"/>
        </w:rPr>
        <w:t>owners of the credit union</w:t>
      </w:r>
      <w:r w:rsidR="00060DA0">
        <w:rPr>
          <w:sz w:val="24"/>
          <w:szCs w:val="24"/>
        </w:rPr>
        <w:t>s</w:t>
      </w:r>
      <w:r w:rsidR="002E0932">
        <w:rPr>
          <w:sz w:val="24"/>
          <w:szCs w:val="24"/>
        </w:rPr>
        <w:t xml:space="preserve"> at which they obtain these products</w:t>
      </w:r>
      <w:r w:rsidR="00303C96">
        <w:rPr>
          <w:sz w:val="24"/>
          <w:szCs w:val="24"/>
        </w:rPr>
        <w:t xml:space="preserve"> and services</w:t>
      </w:r>
      <w:r w:rsidR="001F4C1C">
        <w:rPr>
          <w:sz w:val="24"/>
          <w:szCs w:val="24"/>
        </w:rPr>
        <w:t xml:space="preserve">. As </w:t>
      </w:r>
      <w:r w:rsidR="00A4017B">
        <w:rPr>
          <w:sz w:val="24"/>
          <w:szCs w:val="24"/>
        </w:rPr>
        <w:t>an owner</w:t>
      </w:r>
      <w:r w:rsidR="002E0932">
        <w:rPr>
          <w:sz w:val="24"/>
          <w:szCs w:val="24"/>
        </w:rPr>
        <w:t xml:space="preserve"> and consumer</w:t>
      </w:r>
      <w:r w:rsidR="001F4C1C">
        <w:rPr>
          <w:sz w:val="24"/>
          <w:szCs w:val="24"/>
        </w:rPr>
        <w:t xml:space="preserve">, </w:t>
      </w:r>
      <w:r w:rsidR="00A4017B">
        <w:rPr>
          <w:sz w:val="24"/>
          <w:szCs w:val="24"/>
        </w:rPr>
        <w:t xml:space="preserve">a </w:t>
      </w:r>
      <w:r w:rsidR="00303C96">
        <w:rPr>
          <w:sz w:val="24"/>
          <w:szCs w:val="24"/>
        </w:rPr>
        <w:t>member</w:t>
      </w:r>
      <w:r w:rsidR="00A4017B">
        <w:rPr>
          <w:sz w:val="24"/>
          <w:szCs w:val="24"/>
        </w:rPr>
        <w:t xml:space="preserve"> is</w:t>
      </w:r>
      <w:r w:rsidR="001F4C1C">
        <w:rPr>
          <w:sz w:val="24"/>
          <w:szCs w:val="24"/>
        </w:rPr>
        <w:t xml:space="preserve"> entitled to certain information from the</w:t>
      </w:r>
      <w:r w:rsidR="00A4017B">
        <w:rPr>
          <w:sz w:val="24"/>
          <w:szCs w:val="24"/>
        </w:rPr>
        <w:t>ir credit union.</w:t>
      </w:r>
      <w:r w:rsidR="002E0932">
        <w:rPr>
          <w:sz w:val="24"/>
          <w:szCs w:val="24"/>
        </w:rPr>
        <w:t xml:space="preserve"> This includes information on topics such </w:t>
      </w:r>
      <w:r w:rsidR="002E0932">
        <w:rPr>
          <w:sz w:val="24"/>
          <w:szCs w:val="24"/>
        </w:rPr>
        <w:lastRenderedPageBreak/>
        <w:t>as governance, financial education, information regarding fina</w:t>
      </w:r>
      <w:r w:rsidR="00303C96">
        <w:rPr>
          <w:sz w:val="24"/>
          <w:szCs w:val="24"/>
        </w:rPr>
        <w:t>ncial products, and fraud alerts</w:t>
      </w:r>
      <w:r w:rsidR="002E0932">
        <w:rPr>
          <w:sz w:val="24"/>
          <w:szCs w:val="24"/>
        </w:rPr>
        <w:t>.</w:t>
      </w:r>
      <w:r>
        <w:rPr>
          <w:sz w:val="24"/>
          <w:szCs w:val="24"/>
        </w:rPr>
        <w:t xml:space="preserve"> </w:t>
      </w:r>
      <w:r w:rsidR="002E0932">
        <w:rPr>
          <w:sz w:val="24"/>
          <w:szCs w:val="24"/>
        </w:rPr>
        <w:t>All of which is critical</w:t>
      </w:r>
      <w:r w:rsidR="00303C96">
        <w:rPr>
          <w:sz w:val="24"/>
          <w:szCs w:val="24"/>
        </w:rPr>
        <w:t xml:space="preserve"> information</w:t>
      </w:r>
      <w:r w:rsidR="002E0932">
        <w:rPr>
          <w:sz w:val="24"/>
          <w:szCs w:val="24"/>
        </w:rPr>
        <w:t>.</w:t>
      </w:r>
      <w:r w:rsidR="00A4017B">
        <w:rPr>
          <w:sz w:val="24"/>
          <w:szCs w:val="24"/>
        </w:rPr>
        <w:t xml:space="preserve"> </w:t>
      </w:r>
      <w:r w:rsidR="002E0932">
        <w:rPr>
          <w:sz w:val="24"/>
          <w:szCs w:val="24"/>
        </w:rPr>
        <w:t xml:space="preserve">The TCPA has hindered the flow of such information in at least </w:t>
      </w:r>
      <w:r w:rsidR="00060DA0">
        <w:rPr>
          <w:sz w:val="24"/>
          <w:szCs w:val="24"/>
        </w:rPr>
        <w:t>four</w:t>
      </w:r>
      <w:r w:rsidR="002E0932">
        <w:rPr>
          <w:sz w:val="24"/>
          <w:szCs w:val="24"/>
        </w:rPr>
        <w:t xml:space="preserve"> ways:</w:t>
      </w:r>
    </w:p>
    <w:p w:rsidR="002E0932" w:rsidRDefault="002E0932" w:rsidP="00726EE6">
      <w:pPr>
        <w:pStyle w:val="NoSpacing"/>
        <w:rPr>
          <w:sz w:val="24"/>
          <w:szCs w:val="24"/>
        </w:rPr>
      </w:pPr>
    </w:p>
    <w:p w:rsidR="002E0932" w:rsidRDefault="00595E23" w:rsidP="00726EE6">
      <w:pPr>
        <w:pStyle w:val="NoSpacing"/>
        <w:rPr>
          <w:sz w:val="24"/>
          <w:szCs w:val="24"/>
          <w:u w:val="single"/>
        </w:rPr>
      </w:pPr>
      <w:r>
        <w:rPr>
          <w:sz w:val="24"/>
          <w:szCs w:val="24"/>
          <w:u w:val="single"/>
        </w:rPr>
        <w:t>Definition for “automatic telephone dialer system” is overly broad</w:t>
      </w:r>
    </w:p>
    <w:p w:rsidR="00060DA0" w:rsidRDefault="00060DA0" w:rsidP="00726EE6">
      <w:pPr>
        <w:pStyle w:val="NoSpacing"/>
        <w:rPr>
          <w:sz w:val="24"/>
          <w:szCs w:val="24"/>
          <w:u w:val="single"/>
        </w:rPr>
      </w:pPr>
    </w:p>
    <w:p w:rsidR="007130A8" w:rsidRDefault="00060DA0" w:rsidP="00726EE6">
      <w:pPr>
        <w:pStyle w:val="NoSpacing"/>
        <w:rPr>
          <w:sz w:val="24"/>
          <w:szCs w:val="24"/>
        </w:rPr>
      </w:pPr>
      <w:r>
        <w:rPr>
          <w:sz w:val="24"/>
          <w:szCs w:val="24"/>
        </w:rPr>
        <w:t>The TCPA is overly-broad in that i</w:t>
      </w:r>
      <w:r w:rsidR="00897DC0">
        <w:rPr>
          <w:sz w:val="24"/>
          <w:szCs w:val="24"/>
        </w:rPr>
        <w:t>t</w:t>
      </w:r>
      <w:r>
        <w:rPr>
          <w:sz w:val="24"/>
          <w:szCs w:val="24"/>
        </w:rPr>
        <w:t xml:space="preserve"> subjects even </w:t>
      </w:r>
      <w:r w:rsidR="00223621">
        <w:rPr>
          <w:sz w:val="24"/>
          <w:szCs w:val="24"/>
        </w:rPr>
        <w:t>credit unions</w:t>
      </w:r>
      <w:r>
        <w:rPr>
          <w:sz w:val="24"/>
          <w:szCs w:val="24"/>
        </w:rPr>
        <w:t xml:space="preserve"> that do not actually use auto-dialer</w:t>
      </w:r>
      <w:r w:rsidR="00984BB0">
        <w:rPr>
          <w:sz w:val="24"/>
          <w:szCs w:val="24"/>
        </w:rPr>
        <w:t>s</w:t>
      </w:r>
      <w:r w:rsidR="00897DC0">
        <w:rPr>
          <w:sz w:val="24"/>
          <w:szCs w:val="24"/>
        </w:rPr>
        <w:t xml:space="preserve"> to its regulations and rules.</w:t>
      </w:r>
      <w:r w:rsidR="00823DA9">
        <w:rPr>
          <w:sz w:val="24"/>
          <w:szCs w:val="24"/>
        </w:rPr>
        <w:t xml:space="preserve"> </w:t>
      </w:r>
      <w:r w:rsidR="00984BB0">
        <w:rPr>
          <w:sz w:val="24"/>
          <w:szCs w:val="24"/>
        </w:rPr>
        <w:t>T</w:t>
      </w:r>
      <w:r>
        <w:rPr>
          <w:sz w:val="24"/>
          <w:szCs w:val="24"/>
        </w:rPr>
        <w:t xml:space="preserve">he purpose of the TCPA is to protect consumers from unsolicited </w:t>
      </w:r>
      <w:r w:rsidR="00223621" w:rsidRPr="00223621">
        <w:rPr>
          <w:sz w:val="24"/>
          <w:szCs w:val="24"/>
          <w:u w:val="single"/>
        </w:rPr>
        <w:t>automated</w:t>
      </w:r>
      <w:r w:rsidR="00223621">
        <w:rPr>
          <w:sz w:val="24"/>
          <w:szCs w:val="24"/>
        </w:rPr>
        <w:t xml:space="preserve"> phone calls and prerecorded messages.</w:t>
      </w:r>
      <w:r w:rsidR="00223621">
        <w:rPr>
          <w:rStyle w:val="FootnoteReference"/>
          <w:sz w:val="24"/>
          <w:szCs w:val="24"/>
        </w:rPr>
        <w:footnoteReference w:id="1"/>
      </w:r>
      <w:r w:rsidR="00823DA9">
        <w:rPr>
          <w:sz w:val="24"/>
          <w:szCs w:val="24"/>
        </w:rPr>
        <w:t xml:space="preserve"> </w:t>
      </w:r>
      <w:r w:rsidR="00223621">
        <w:rPr>
          <w:sz w:val="24"/>
          <w:szCs w:val="24"/>
        </w:rPr>
        <w:t>However, because of the TCPA’s overly broad definition for “automatic telephone dialing system,”</w:t>
      </w:r>
      <w:r w:rsidR="00223621">
        <w:rPr>
          <w:rStyle w:val="FootnoteReference"/>
          <w:sz w:val="24"/>
          <w:szCs w:val="24"/>
        </w:rPr>
        <w:footnoteReference w:id="2"/>
      </w:r>
      <w:r w:rsidR="00223621">
        <w:rPr>
          <w:sz w:val="24"/>
          <w:szCs w:val="24"/>
        </w:rPr>
        <w:t xml:space="preserve"> credit unions that do not </w:t>
      </w:r>
      <w:r w:rsidR="00984BB0">
        <w:rPr>
          <w:sz w:val="24"/>
          <w:szCs w:val="24"/>
        </w:rPr>
        <w:t xml:space="preserve">actually use auto-dialers </w:t>
      </w:r>
      <w:r w:rsidR="00223621">
        <w:rPr>
          <w:sz w:val="24"/>
          <w:szCs w:val="24"/>
        </w:rPr>
        <w:t>are still subject to the TCPA’s restrictions and burdens.</w:t>
      </w:r>
      <w:r w:rsidR="00823DA9">
        <w:rPr>
          <w:sz w:val="24"/>
          <w:szCs w:val="24"/>
        </w:rPr>
        <w:t xml:space="preserve"> </w:t>
      </w:r>
      <w:r w:rsidR="00223621">
        <w:rPr>
          <w:sz w:val="24"/>
          <w:szCs w:val="24"/>
        </w:rPr>
        <w:t xml:space="preserve">As pointed out in the Petition, </w:t>
      </w:r>
      <w:r w:rsidR="00897DC0">
        <w:rPr>
          <w:sz w:val="24"/>
          <w:szCs w:val="24"/>
        </w:rPr>
        <w:t xml:space="preserve">a majority of </w:t>
      </w:r>
      <w:r w:rsidR="00223621">
        <w:rPr>
          <w:sz w:val="24"/>
          <w:szCs w:val="24"/>
        </w:rPr>
        <w:t>credit unions do not use auto</w:t>
      </w:r>
      <w:r w:rsidR="00F64D07">
        <w:rPr>
          <w:sz w:val="24"/>
          <w:szCs w:val="24"/>
        </w:rPr>
        <w:t>-</w:t>
      </w:r>
      <w:r w:rsidR="00223621">
        <w:rPr>
          <w:sz w:val="24"/>
          <w:szCs w:val="24"/>
        </w:rPr>
        <w:t>dialer</w:t>
      </w:r>
      <w:r w:rsidR="00984BB0">
        <w:rPr>
          <w:sz w:val="24"/>
          <w:szCs w:val="24"/>
        </w:rPr>
        <w:t>s</w:t>
      </w:r>
      <w:r w:rsidR="00223621">
        <w:rPr>
          <w:sz w:val="24"/>
          <w:szCs w:val="24"/>
        </w:rPr>
        <w:t>.</w:t>
      </w:r>
      <w:r w:rsidR="00823DA9">
        <w:rPr>
          <w:sz w:val="24"/>
          <w:szCs w:val="24"/>
        </w:rPr>
        <w:t xml:space="preserve"> </w:t>
      </w:r>
      <w:r w:rsidR="00F64D07">
        <w:rPr>
          <w:sz w:val="24"/>
          <w:szCs w:val="24"/>
        </w:rPr>
        <w:t>(See Petition, pg. 3, fn. 9.)</w:t>
      </w:r>
      <w:r w:rsidR="00823DA9">
        <w:rPr>
          <w:sz w:val="24"/>
          <w:szCs w:val="24"/>
        </w:rPr>
        <w:t xml:space="preserve"> </w:t>
      </w:r>
      <w:r w:rsidR="00984BB0">
        <w:rPr>
          <w:sz w:val="24"/>
          <w:szCs w:val="24"/>
        </w:rPr>
        <w:t xml:space="preserve">Since the TCPA was enacted to </w:t>
      </w:r>
      <w:r w:rsidR="00F64D07">
        <w:rPr>
          <w:sz w:val="24"/>
          <w:szCs w:val="24"/>
        </w:rPr>
        <w:t xml:space="preserve">protect consumers from </w:t>
      </w:r>
      <w:r w:rsidR="00984BB0">
        <w:rPr>
          <w:sz w:val="24"/>
          <w:szCs w:val="24"/>
        </w:rPr>
        <w:t xml:space="preserve">being overwhelmed by phone calls from </w:t>
      </w:r>
      <w:r w:rsidR="00F64D07">
        <w:rPr>
          <w:sz w:val="24"/>
          <w:szCs w:val="24"/>
        </w:rPr>
        <w:t>auto-dialers and prerecorded messages, then</w:t>
      </w:r>
      <w:r w:rsidR="00A4017B">
        <w:rPr>
          <w:sz w:val="24"/>
          <w:szCs w:val="24"/>
        </w:rPr>
        <w:t xml:space="preserve"> logic dictates that</w:t>
      </w:r>
      <w:r w:rsidR="00F64D07">
        <w:rPr>
          <w:sz w:val="24"/>
          <w:szCs w:val="24"/>
        </w:rPr>
        <w:t xml:space="preserve"> should be applied only to </w:t>
      </w:r>
      <w:r w:rsidR="0042628E">
        <w:rPr>
          <w:sz w:val="24"/>
          <w:szCs w:val="24"/>
        </w:rPr>
        <w:t>persons</w:t>
      </w:r>
      <w:r w:rsidR="00F64D07">
        <w:rPr>
          <w:sz w:val="24"/>
          <w:szCs w:val="24"/>
        </w:rPr>
        <w:t xml:space="preserve"> that </w:t>
      </w:r>
      <w:r w:rsidR="00A4017B" w:rsidRPr="00A4017B">
        <w:rPr>
          <w:sz w:val="24"/>
          <w:szCs w:val="24"/>
          <w:u w:val="single"/>
        </w:rPr>
        <w:t>actually</w:t>
      </w:r>
      <w:r w:rsidR="00A4017B">
        <w:rPr>
          <w:sz w:val="24"/>
          <w:szCs w:val="24"/>
        </w:rPr>
        <w:t xml:space="preserve"> </w:t>
      </w:r>
      <w:r w:rsidR="00F64D07">
        <w:rPr>
          <w:sz w:val="24"/>
          <w:szCs w:val="24"/>
        </w:rPr>
        <w:t>use such methods.</w:t>
      </w:r>
      <w:r w:rsidR="00823DA9">
        <w:rPr>
          <w:sz w:val="24"/>
          <w:szCs w:val="24"/>
        </w:rPr>
        <w:t xml:space="preserve"> </w:t>
      </w:r>
      <w:r w:rsidR="00984BB0">
        <w:rPr>
          <w:sz w:val="24"/>
          <w:szCs w:val="24"/>
        </w:rPr>
        <w:t>We ask that persons, who</w:t>
      </w:r>
      <w:r w:rsidR="007130A8">
        <w:rPr>
          <w:sz w:val="24"/>
          <w:szCs w:val="24"/>
        </w:rPr>
        <w:t xml:space="preserve"> do not actually use automatic telephone dialing system</w:t>
      </w:r>
      <w:r w:rsidR="00984BB0">
        <w:rPr>
          <w:sz w:val="24"/>
          <w:szCs w:val="24"/>
        </w:rPr>
        <w:t xml:space="preserve">s, regardless of whether </w:t>
      </w:r>
      <w:r w:rsidR="007130A8">
        <w:rPr>
          <w:sz w:val="24"/>
          <w:szCs w:val="24"/>
        </w:rPr>
        <w:t xml:space="preserve">they have phone </w:t>
      </w:r>
      <w:r w:rsidR="00984BB0">
        <w:rPr>
          <w:sz w:val="24"/>
          <w:szCs w:val="24"/>
        </w:rPr>
        <w:t>systems capable of auto-dialing, be exempted from the TCPA.</w:t>
      </w:r>
      <w:r w:rsidR="00823DA9">
        <w:rPr>
          <w:sz w:val="24"/>
          <w:szCs w:val="24"/>
        </w:rPr>
        <w:t xml:space="preserve"> </w:t>
      </w:r>
    </w:p>
    <w:p w:rsidR="00595E23" w:rsidRDefault="00595E23" w:rsidP="00726EE6">
      <w:pPr>
        <w:pStyle w:val="NoSpacing"/>
        <w:rPr>
          <w:sz w:val="24"/>
          <w:szCs w:val="24"/>
          <w:u w:val="single"/>
        </w:rPr>
      </w:pPr>
    </w:p>
    <w:p w:rsidR="00595E23" w:rsidRDefault="00CE49C8" w:rsidP="00726EE6">
      <w:pPr>
        <w:pStyle w:val="NoSpacing"/>
        <w:rPr>
          <w:sz w:val="24"/>
          <w:szCs w:val="24"/>
          <w:u w:val="single"/>
        </w:rPr>
      </w:pPr>
      <w:r>
        <w:rPr>
          <w:sz w:val="24"/>
          <w:szCs w:val="24"/>
          <w:u w:val="single"/>
        </w:rPr>
        <w:t>The one-call safe harbor is not sufficient</w:t>
      </w:r>
    </w:p>
    <w:p w:rsidR="00CE49C8" w:rsidRDefault="00CE49C8" w:rsidP="00726EE6">
      <w:pPr>
        <w:pStyle w:val="NoSpacing"/>
        <w:rPr>
          <w:sz w:val="24"/>
          <w:szCs w:val="24"/>
          <w:u w:val="single"/>
        </w:rPr>
      </w:pPr>
    </w:p>
    <w:p w:rsidR="00CE49C8" w:rsidRPr="00CE49C8" w:rsidRDefault="00CE49C8" w:rsidP="00726EE6">
      <w:pPr>
        <w:pStyle w:val="NoSpacing"/>
        <w:rPr>
          <w:sz w:val="24"/>
          <w:szCs w:val="24"/>
        </w:rPr>
      </w:pPr>
      <w:r>
        <w:rPr>
          <w:sz w:val="24"/>
          <w:szCs w:val="24"/>
        </w:rPr>
        <w:t>The TCPA creates a private right of action for any “person who has received more than one telephone call within any 12-month period by the same entity in violation of the regulations</w:t>
      </w:r>
      <w:r w:rsidR="00897DC0">
        <w:rPr>
          <w:sz w:val="24"/>
          <w:szCs w:val="24"/>
        </w:rPr>
        <w:t>. . .</w:t>
      </w:r>
      <w:r>
        <w:rPr>
          <w:sz w:val="24"/>
          <w:szCs w:val="24"/>
        </w:rPr>
        <w:t>” prescribed under the TCPA.</w:t>
      </w:r>
      <w:r w:rsidR="00823DA9">
        <w:rPr>
          <w:sz w:val="24"/>
          <w:szCs w:val="24"/>
        </w:rPr>
        <w:t xml:space="preserve"> </w:t>
      </w:r>
      <w:r>
        <w:rPr>
          <w:sz w:val="24"/>
          <w:szCs w:val="24"/>
        </w:rPr>
        <w:t>(47 USC § 227(a)(5)).</w:t>
      </w:r>
      <w:r w:rsidR="00823DA9">
        <w:rPr>
          <w:sz w:val="24"/>
          <w:szCs w:val="24"/>
        </w:rPr>
        <w:t xml:space="preserve"> </w:t>
      </w:r>
      <w:r>
        <w:rPr>
          <w:sz w:val="24"/>
          <w:szCs w:val="24"/>
        </w:rPr>
        <w:t xml:space="preserve">Although this creates </w:t>
      </w:r>
      <w:r w:rsidR="00984BB0">
        <w:rPr>
          <w:sz w:val="24"/>
          <w:szCs w:val="24"/>
        </w:rPr>
        <w:t xml:space="preserve">what might </w:t>
      </w:r>
      <w:r w:rsidR="00AC6D38">
        <w:rPr>
          <w:sz w:val="24"/>
          <w:szCs w:val="24"/>
        </w:rPr>
        <w:t>be</w:t>
      </w:r>
      <w:r w:rsidR="00984BB0">
        <w:rPr>
          <w:sz w:val="24"/>
          <w:szCs w:val="24"/>
        </w:rPr>
        <w:t xml:space="preserve"> </w:t>
      </w:r>
      <w:r w:rsidR="00897DC0">
        <w:rPr>
          <w:sz w:val="24"/>
          <w:szCs w:val="24"/>
        </w:rPr>
        <w:t xml:space="preserve">seen as </w:t>
      </w:r>
      <w:r w:rsidR="00984BB0">
        <w:rPr>
          <w:sz w:val="24"/>
          <w:szCs w:val="24"/>
        </w:rPr>
        <w:t xml:space="preserve">a </w:t>
      </w:r>
      <w:r>
        <w:rPr>
          <w:sz w:val="24"/>
          <w:szCs w:val="24"/>
        </w:rPr>
        <w:t>safe harbor, it is not sufficient.</w:t>
      </w:r>
      <w:r w:rsidR="00823DA9">
        <w:rPr>
          <w:sz w:val="24"/>
          <w:szCs w:val="24"/>
        </w:rPr>
        <w:t xml:space="preserve"> </w:t>
      </w:r>
      <w:r>
        <w:rPr>
          <w:sz w:val="24"/>
          <w:szCs w:val="24"/>
        </w:rPr>
        <w:t>Consider the following scenario. A credi</w:t>
      </w:r>
      <w:r w:rsidR="00EF083F">
        <w:rPr>
          <w:sz w:val="24"/>
          <w:szCs w:val="24"/>
        </w:rPr>
        <w:t>t union member</w:t>
      </w:r>
      <w:r w:rsidR="00A96E11">
        <w:rPr>
          <w:sz w:val="24"/>
          <w:szCs w:val="24"/>
        </w:rPr>
        <w:t xml:space="preserve"> provides the credit union with a telephone number and grants permission for that credit union to contact the member at that number.</w:t>
      </w:r>
      <w:r w:rsidR="00823DA9">
        <w:rPr>
          <w:sz w:val="24"/>
          <w:szCs w:val="24"/>
        </w:rPr>
        <w:t xml:space="preserve"> </w:t>
      </w:r>
      <w:r w:rsidR="00A96E11">
        <w:rPr>
          <w:sz w:val="24"/>
          <w:szCs w:val="24"/>
        </w:rPr>
        <w:t>Subsequently, the member</w:t>
      </w:r>
      <w:r w:rsidR="00EF083F">
        <w:rPr>
          <w:sz w:val="24"/>
          <w:szCs w:val="24"/>
        </w:rPr>
        <w:t xml:space="preserve"> changes telephone</w:t>
      </w:r>
      <w:r>
        <w:rPr>
          <w:sz w:val="24"/>
          <w:szCs w:val="24"/>
        </w:rPr>
        <w:t xml:space="preserve"> numbers and fails to inform the credit union of th</w:t>
      </w:r>
      <w:r w:rsidR="00EF083F">
        <w:rPr>
          <w:sz w:val="24"/>
          <w:szCs w:val="24"/>
        </w:rPr>
        <w:t>is</w:t>
      </w:r>
      <w:r>
        <w:rPr>
          <w:sz w:val="24"/>
          <w:szCs w:val="24"/>
        </w:rPr>
        <w:t xml:space="preserve"> change.</w:t>
      </w:r>
      <w:r w:rsidR="00A4017B">
        <w:rPr>
          <w:sz w:val="24"/>
          <w:szCs w:val="24"/>
        </w:rPr>
        <w:t xml:space="preserve"> The number gets reassigned.</w:t>
      </w:r>
      <w:r>
        <w:rPr>
          <w:sz w:val="24"/>
          <w:szCs w:val="24"/>
        </w:rPr>
        <w:t xml:space="preserve"> The credit union then attempts to contact the member </w:t>
      </w:r>
      <w:r w:rsidR="00984BB0">
        <w:rPr>
          <w:sz w:val="24"/>
          <w:szCs w:val="24"/>
        </w:rPr>
        <w:t xml:space="preserve">at this number </w:t>
      </w:r>
      <w:r>
        <w:rPr>
          <w:sz w:val="24"/>
          <w:szCs w:val="24"/>
        </w:rPr>
        <w:t xml:space="preserve">and gets only </w:t>
      </w:r>
      <w:r w:rsidR="00EF083F">
        <w:rPr>
          <w:sz w:val="24"/>
          <w:szCs w:val="24"/>
        </w:rPr>
        <w:t xml:space="preserve">a generic voicemail. The credit union cannot possibly know, based upon this single phone </w:t>
      </w:r>
      <w:r w:rsidR="00586F8C">
        <w:rPr>
          <w:sz w:val="24"/>
          <w:szCs w:val="24"/>
        </w:rPr>
        <w:t>call, that this is no longer a valid</w:t>
      </w:r>
      <w:r w:rsidR="00EF083F">
        <w:rPr>
          <w:sz w:val="24"/>
          <w:szCs w:val="24"/>
        </w:rPr>
        <w:t xml:space="preserve"> phone number for the member. The credit </w:t>
      </w:r>
      <w:r w:rsidR="00A4017B">
        <w:rPr>
          <w:sz w:val="24"/>
          <w:szCs w:val="24"/>
        </w:rPr>
        <w:t>union attempts to call again. Once the credit union has made this second call</w:t>
      </w:r>
      <w:r w:rsidR="00EF083F">
        <w:rPr>
          <w:sz w:val="24"/>
          <w:szCs w:val="24"/>
        </w:rPr>
        <w:t xml:space="preserve">, </w:t>
      </w:r>
      <w:r w:rsidR="00A4017B">
        <w:rPr>
          <w:sz w:val="24"/>
          <w:szCs w:val="24"/>
        </w:rPr>
        <w:t>it</w:t>
      </w:r>
      <w:r w:rsidR="00EF083F">
        <w:rPr>
          <w:sz w:val="24"/>
          <w:szCs w:val="24"/>
        </w:rPr>
        <w:t xml:space="preserve"> has violated the TCPA and is subject to liability. </w:t>
      </w:r>
      <w:r w:rsidR="00586F8C">
        <w:rPr>
          <w:sz w:val="24"/>
          <w:szCs w:val="24"/>
        </w:rPr>
        <w:t>This is harsh result</w:t>
      </w:r>
      <w:r w:rsidR="00A4017B">
        <w:rPr>
          <w:sz w:val="24"/>
          <w:szCs w:val="24"/>
        </w:rPr>
        <w:t xml:space="preserve"> under the circumstances. However,</w:t>
      </w:r>
      <w:r w:rsidR="00A96E11">
        <w:rPr>
          <w:sz w:val="24"/>
          <w:szCs w:val="24"/>
        </w:rPr>
        <w:t xml:space="preserve"> under th</w:t>
      </w:r>
      <w:r w:rsidR="00586F8C">
        <w:rPr>
          <w:sz w:val="24"/>
          <w:szCs w:val="24"/>
        </w:rPr>
        <w:t>e</w:t>
      </w:r>
      <w:r w:rsidR="00A96E11">
        <w:rPr>
          <w:sz w:val="24"/>
          <w:szCs w:val="24"/>
        </w:rPr>
        <w:t xml:space="preserve"> letter of the law, the credit union could be held liable.</w:t>
      </w:r>
      <w:r w:rsidR="00823DA9">
        <w:rPr>
          <w:sz w:val="24"/>
          <w:szCs w:val="24"/>
        </w:rPr>
        <w:t xml:space="preserve"> </w:t>
      </w:r>
      <w:r w:rsidR="00A96E11">
        <w:rPr>
          <w:sz w:val="24"/>
          <w:szCs w:val="24"/>
        </w:rPr>
        <w:t>Some may argue that t</w:t>
      </w:r>
      <w:r w:rsidR="00EF083F">
        <w:rPr>
          <w:sz w:val="24"/>
          <w:szCs w:val="24"/>
        </w:rPr>
        <w:t>here are methods by which credit u</w:t>
      </w:r>
      <w:r w:rsidR="00A96E11">
        <w:rPr>
          <w:sz w:val="24"/>
          <w:szCs w:val="24"/>
        </w:rPr>
        <w:t>nion</w:t>
      </w:r>
      <w:r w:rsidR="00586F8C">
        <w:rPr>
          <w:sz w:val="24"/>
          <w:szCs w:val="24"/>
        </w:rPr>
        <w:t>s</w:t>
      </w:r>
      <w:r w:rsidR="00A96E11">
        <w:rPr>
          <w:sz w:val="24"/>
          <w:szCs w:val="24"/>
        </w:rPr>
        <w:t xml:space="preserve"> can</w:t>
      </w:r>
      <w:r w:rsidR="00EF083F">
        <w:rPr>
          <w:sz w:val="24"/>
          <w:szCs w:val="24"/>
        </w:rPr>
        <w:t xml:space="preserve"> </w:t>
      </w:r>
      <w:r w:rsidR="00EF083F">
        <w:rPr>
          <w:sz w:val="24"/>
          <w:szCs w:val="24"/>
        </w:rPr>
        <w:lastRenderedPageBreak/>
        <w:t>get updated phone lists.</w:t>
      </w:r>
      <w:r w:rsidR="00823DA9">
        <w:rPr>
          <w:sz w:val="24"/>
          <w:szCs w:val="24"/>
        </w:rPr>
        <w:t xml:space="preserve"> </w:t>
      </w:r>
      <w:r w:rsidR="00EF083F">
        <w:rPr>
          <w:sz w:val="24"/>
          <w:szCs w:val="24"/>
        </w:rPr>
        <w:t>However, such lists are costly and scrub</w:t>
      </w:r>
      <w:r w:rsidR="0038112F">
        <w:rPr>
          <w:sz w:val="24"/>
          <w:szCs w:val="24"/>
        </w:rPr>
        <w:t>b</w:t>
      </w:r>
      <w:r w:rsidR="00EF083F">
        <w:rPr>
          <w:sz w:val="24"/>
          <w:szCs w:val="24"/>
        </w:rPr>
        <w:t>ing such list</w:t>
      </w:r>
      <w:r w:rsidR="00586F8C">
        <w:rPr>
          <w:sz w:val="24"/>
          <w:szCs w:val="24"/>
        </w:rPr>
        <w:t>s</w:t>
      </w:r>
      <w:r w:rsidR="00EF083F">
        <w:rPr>
          <w:sz w:val="24"/>
          <w:szCs w:val="24"/>
        </w:rPr>
        <w:t xml:space="preserve"> against the credit union’s data is </w:t>
      </w:r>
      <w:r w:rsidR="0038112F">
        <w:rPr>
          <w:sz w:val="24"/>
          <w:szCs w:val="24"/>
        </w:rPr>
        <w:t xml:space="preserve">an onerous </w:t>
      </w:r>
      <w:r w:rsidR="00EF083F">
        <w:rPr>
          <w:sz w:val="24"/>
          <w:szCs w:val="24"/>
        </w:rPr>
        <w:t>burden</w:t>
      </w:r>
      <w:r w:rsidR="0038112F">
        <w:rPr>
          <w:sz w:val="24"/>
          <w:szCs w:val="24"/>
        </w:rPr>
        <w:t xml:space="preserve">. Additionally, </w:t>
      </w:r>
      <w:r w:rsidR="00A96E11">
        <w:rPr>
          <w:sz w:val="24"/>
          <w:szCs w:val="24"/>
        </w:rPr>
        <w:t>using such lists</w:t>
      </w:r>
      <w:r w:rsidR="0038112F">
        <w:rPr>
          <w:sz w:val="24"/>
          <w:szCs w:val="24"/>
        </w:rPr>
        <w:t xml:space="preserve"> is not p</w:t>
      </w:r>
      <w:r w:rsidR="00586F8C">
        <w:rPr>
          <w:sz w:val="24"/>
          <w:szCs w:val="24"/>
        </w:rPr>
        <w:t>ractical because by the time a</w:t>
      </w:r>
      <w:r w:rsidR="0038112F">
        <w:rPr>
          <w:sz w:val="24"/>
          <w:szCs w:val="24"/>
        </w:rPr>
        <w:t xml:space="preserve"> credit union has finished scrubbing the list, the data could be outdated.</w:t>
      </w:r>
      <w:r w:rsidR="00823DA9">
        <w:rPr>
          <w:sz w:val="24"/>
          <w:szCs w:val="24"/>
        </w:rPr>
        <w:t xml:space="preserve"> </w:t>
      </w:r>
      <w:r w:rsidR="0038112F">
        <w:rPr>
          <w:sz w:val="24"/>
          <w:szCs w:val="24"/>
        </w:rPr>
        <w:t>To make such a method workable, a credit would have to do this on a monthly, if not weekly basis.</w:t>
      </w:r>
      <w:r w:rsidR="00823DA9">
        <w:rPr>
          <w:sz w:val="24"/>
          <w:szCs w:val="24"/>
        </w:rPr>
        <w:t xml:space="preserve"> </w:t>
      </w:r>
      <w:r w:rsidR="0038112F">
        <w:rPr>
          <w:sz w:val="24"/>
          <w:szCs w:val="24"/>
        </w:rPr>
        <w:t>Even then there is no guarantee that the data is up to date</w:t>
      </w:r>
      <w:r w:rsidR="00586F8C">
        <w:rPr>
          <w:sz w:val="24"/>
          <w:szCs w:val="24"/>
        </w:rPr>
        <w:t xml:space="preserve"> and that the phone number being called is still correct</w:t>
      </w:r>
      <w:r w:rsidR="0038112F">
        <w:rPr>
          <w:sz w:val="24"/>
          <w:szCs w:val="24"/>
        </w:rPr>
        <w:t>. We believe a more reasonable approach would be to give a private right of action when the entity</w:t>
      </w:r>
      <w:r w:rsidR="00A96E11">
        <w:rPr>
          <w:sz w:val="24"/>
          <w:szCs w:val="24"/>
        </w:rPr>
        <w:t xml:space="preserve"> making the phone call</w:t>
      </w:r>
      <w:r w:rsidR="00A4017B">
        <w:rPr>
          <w:sz w:val="24"/>
          <w:szCs w:val="24"/>
        </w:rPr>
        <w:t xml:space="preserve"> had</w:t>
      </w:r>
      <w:r w:rsidR="00586F8C">
        <w:rPr>
          <w:sz w:val="24"/>
          <w:szCs w:val="24"/>
        </w:rPr>
        <w:t xml:space="preserve"> “</w:t>
      </w:r>
      <w:r w:rsidR="0038112F">
        <w:rPr>
          <w:sz w:val="24"/>
          <w:szCs w:val="24"/>
        </w:rPr>
        <w:t>reason to know or should have known</w:t>
      </w:r>
      <w:r w:rsidR="00586F8C">
        <w:rPr>
          <w:sz w:val="24"/>
          <w:szCs w:val="24"/>
        </w:rPr>
        <w:t>”</w:t>
      </w:r>
      <w:r w:rsidR="0038112F">
        <w:rPr>
          <w:sz w:val="24"/>
          <w:szCs w:val="24"/>
        </w:rPr>
        <w:t xml:space="preserve"> that it was calling a n</w:t>
      </w:r>
      <w:r w:rsidR="004F03E2">
        <w:rPr>
          <w:sz w:val="24"/>
          <w:szCs w:val="24"/>
        </w:rPr>
        <w:t xml:space="preserve">umber </w:t>
      </w:r>
      <w:r w:rsidR="00A96E11">
        <w:rPr>
          <w:sz w:val="24"/>
          <w:szCs w:val="24"/>
        </w:rPr>
        <w:t xml:space="preserve">that was no longer valid for the </w:t>
      </w:r>
      <w:r w:rsidR="00586F8C">
        <w:rPr>
          <w:sz w:val="24"/>
          <w:szCs w:val="24"/>
        </w:rPr>
        <w:t>consumer that</w:t>
      </w:r>
      <w:r w:rsidR="00A96E11">
        <w:rPr>
          <w:sz w:val="24"/>
          <w:szCs w:val="24"/>
        </w:rPr>
        <w:t xml:space="preserve"> the entity was trying to reach.</w:t>
      </w:r>
      <w:r w:rsidR="004F03E2">
        <w:rPr>
          <w:sz w:val="24"/>
          <w:szCs w:val="24"/>
        </w:rPr>
        <w:t xml:space="preserve"> </w:t>
      </w:r>
      <w:r w:rsidR="0038112F">
        <w:rPr>
          <w:sz w:val="24"/>
          <w:szCs w:val="24"/>
        </w:rPr>
        <w:t>This approach would still protect consumers and further the purposes of the TCPA.</w:t>
      </w:r>
      <w:r w:rsidR="00EF083F">
        <w:rPr>
          <w:sz w:val="24"/>
          <w:szCs w:val="24"/>
        </w:rPr>
        <w:t xml:space="preserve"> </w:t>
      </w:r>
    </w:p>
    <w:p w:rsidR="00BB3D77" w:rsidRDefault="00BB3D77" w:rsidP="00726EE6">
      <w:pPr>
        <w:pStyle w:val="NoSpacing"/>
        <w:rPr>
          <w:sz w:val="24"/>
          <w:szCs w:val="24"/>
          <w:u w:val="single"/>
        </w:rPr>
      </w:pPr>
    </w:p>
    <w:p w:rsidR="00BB3D77" w:rsidRDefault="00BB3D77" w:rsidP="00726EE6">
      <w:pPr>
        <w:pStyle w:val="NoSpacing"/>
        <w:rPr>
          <w:sz w:val="24"/>
          <w:szCs w:val="24"/>
          <w:u w:val="single"/>
        </w:rPr>
      </w:pPr>
      <w:r>
        <w:rPr>
          <w:sz w:val="24"/>
          <w:szCs w:val="24"/>
          <w:u w:val="single"/>
        </w:rPr>
        <w:t>Process</w:t>
      </w:r>
      <w:r w:rsidR="004F03E2">
        <w:rPr>
          <w:sz w:val="24"/>
          <w:szCs w:val="24"/>
          <w:u w:val="single"/>
        </w:rPr>
        <w:t xml:space="preserve"> for revoking consent</w:t>
      </w:r>
      <w:r>
        <w:rPr>
          <w:sz w:val="24"/>
          <w:szCs w:val="24"/>
          <w:u w:val="single"/>
        </w:rPr>
        <w:t xml:space="preserve"> is not clearly defined</w:t>
      </w:r>
      <w:r w:rsidR="00823DA9">
        <w:rPr>
          <w:sz w:val="24"/>
          <w:szCs w:val="24"/>
          <w:u w:val="single"/>
        </w:rPr>
        <w:t xml:space="preserve"> </w:t>
      </w:r>
    </w:p>
    <w:p w:rsidR="004F03E2" w:rsidRDefault="004F03E2" w:rsidP="00726EE6">
      <w:pPr>
        <w:pStyle w:val="NoSpacing"/>
        <w:rPr>
          <w:sz w:val="24"/>
          <w:szCs w:val="24"/>
          <w:u w:val="single"/>
        </w:rPr>
      </w:pPr>
    </w:p>
    <w:p w:rsidR="004F03E2" w:rsidRPr="004F03E2" w:rsidRDefault="004F03E2" w:rsidP="00726EE6">
      <w:pPr>
        <w:pStyle w:val="NoSpacing"/>
        <w:rPr>
          <w:sz w:val="24"/>
          <w:szCs w:val="24"/>
        </w:rPr>
      </w:pPr>
      <w:r>
        <w:rPr>
          <w:sz w:val="24"/>
          <w:szCs w:val="24"/>
        </w:rPr>
        <w:t xml:space="preserve">The TCPA </w:t>
      </w:r>
      <w:r w:rsidR="00586F8C">
        <w:rPr>
          <w:sz w:val="24"/>
          <w:szCs w:val="24"/>
        </w:rPr>
        <w:t>does not provide a clear definition at to what constitutes an effective revocation of consent.</w:t>
      </w:r>
      <w:r>
        <w:rPr>
          <w:sz w:val="24"/>
          <w:szCs w:val="24"/>
        </w:rPr>
        <w:t xml:space="preserve"> This lack of clarity make</w:t>
      </w:r>
      <w:r w:rsidR="00B508ED">
        <w:rPr>
          <w:sz w:val="24"/>
          <w:szCs w:val="24"/>
        </w:rPr>
        <w:t>s</w:t>
      </w:r>
      <w:r>
        <w:rPr>
          <w:sz w:val="24"/>
          <w:szCs w:val="24"/>
        </w:rPr>
        <w:t xml:space="preserve"> it extremely difficult for credit unions</w:t>
      </w:r>
      <w:r w:rsidR="00586F8C">
        <w:rPr>
          <w:sz w:val="24"/>
          <w:szCs w:val="24"/>
        </w:rPr>
        <w:t>, other businesses</w:t>
      </w:r>
      <w:r w:rsidR="00823DA9">
        <w:rPr>
          <w:sz w:val="24"/>
          <w:szCs w:val="24"/>
        </w:rPr>
        <w:t>,</w:t>
      </w:r>
      <w:r w:rsidR="00586F8C">
        <w:rPr>
          <w:sz w:val="24"/>
          <w:szCs w:val="24"/>
        </w:rPr>
        <w:t xml:space="preserve"> and financial institutions,</w:t>
      </w:r>
      <w:r>
        <w:rPr>
          <w:sz w:val="24"/>
          <w:szCs w:val="24"/>
        </w:rPr>
        <w:t xml:space="preserve"> to create a process to record and</w:t>
      </w:r>
      <w:r w:rsidR="00586F8C">
        <w:rPr>
          <w:sz w:val="24"/>
          <w:szCs w:val="24"/>
        </w:rPr>
        <w:t xml:space="preserve"> comply with revocation requests.</w:t>
      </w:r>
      <w:r>
        <w:rPr>
          <w:sz w:val="24"/>
          <w:szCs w:val="24"/>
        </w:rPr>
        <w:t xml:space="preserve"> We request that FCC create a regulation that would allow </w:t>
      </w:r>
      <w:r w:rsidR="00B508ED">
        <w:rPr>
          <w:sz w:val="24"/>
          <w:szCs w:val="24"/>
        </w:rPr>
        <w:t xml:space="preserve">entities to define a reasonable and specific </w:t>
      </w:r>
      <w:r>
        <w:rPr>
          <w:sz w:val="24"/>
          <w:szCs w:val="24"/>
        </w:rPr>
        <w:t>revocation process</w:t>
      </w:r>
      <w:r w:rsidR="00B508ED">
        <w:rPr>
          <w:sz w:val="24"/>
          <w:szCs w:val="24"/>
        </w:rPr>
        <w:t xml:space="preserve"> or processes</w:t>
      </w:r>
      <w:r>
        <w:rPr>
          <w:sz w:val="24"/>
          <w:szCs w:val="24"/>
        </w:rPr>
        <w:t xml:space="preserve"> that</w:t>
      </w:r>
      <w:r w:rsidR="00B508ED">
        <w:rPr>
          <w:sz w:val="24"/>
          <w:szCs w:val="24"/>
        </w:rPr>
        <w:t xml:space="preserve"> consumers must follow </w:t>
      </w:r>
      <w:r>
        <w:rPr>
          <w:sz w:val="24"/>
          <w:szCs w:val="24"/>
        </w:rPr>
        <w:t>for revocation</w:t>
      </w:r>
      <w:r w:rsidR="00B508ED">
        <w:rPr>
          <w:sz w:val="24"/>
          <w:szCs w:val="24"/>
        </w:rPr>
        <w:t>s</w:t>
      </w:r>
      <w:r>
        <w:rPr>
          <w:sz w:val="24"/>
          <w:szCs w:val="24"/>
        </w:rPr>
        <w:t xml:space="preserve"> to be effective.</w:t>
      </w:r>
      <w:r w:rsidR="00B508ED">
        <w:rPr>
          <w:sz w:val="24"/>
          <w:szCs w:val="24"/>
        </w:rPr>
        <w:t xml:space="preserve"> This approach would create clarity for both the entity and the consumer.</w:t>
      </w:r>
      <w:r w:rsidR="00823DA9">
        <w:rPr>
          <w:sz w:val="24"/>
          <w:szCs w:val="24"/>
        </w:rPr>
        <w:t xml:space="preserve"> </w:t>
      </w:r>
      <w:r w:rsidR="00B508ED">
        <w:rPr>
          <w:sz w:val="24"/>
          <w:szCs w:val="24"/>
        </w:rPr>
        <w:t xml:space="preserve">Entities will be able to create revocation processes that </w:t>
      </w:r>
      <w:r w:rsidR="00A96E11">
        <w:rPr>
          <w:sz w:val="24"/>
          <w:szCs w:val="24"/>
        </w:rPr>
        <w:t>can be</w:t>
      </w:r>
      <w:r w:rsidR="00B508ED">
        <w:rPr>
          <w:sz w:val="24"/>
          <w:szCs w:val="24"/>
        </w:rPr>
        <w:t xml:space="preserve"> more effective</w:t>
      </w:r>
      <w:r w:rsidR="00A96E11">
        <w:rPr>
          <w:sz w:val="24"/>
          <w:szCs w:val="24"/>
        </w:rPr>
        <w:t>ly applied</w:t>
      </w:r>
      <w:r w:rsidR="00B508ED">
        <w:rPr>
          <w:sz w:val="24"/>
          <w:szCs w:val="24"/>
        </w:rPr>
        <w:t xml:space="preserve">, thus making it more likely that </w:t>
      </w:r>
      <w:r w:rsidR="00A96E11">
        <w:rPr>
          <w:sz w:val="24"/>
          <w:szCs w:val="24"/>
        </w:rPr>
        <w:t>they will be able to comply a</w:t>
      </w:r>
      <w:r w:rsidR="00B508ED">
        <w:rPr>
          <w:sz w:val="24"/>
          <w:szCs w:val="24"/>
        </w:rPr>
        <w:t xml:space="preserve"> consumer</w:t>
      </w:r>
      <w:r w:rsidR="00A96E11">
        <w:rPr>
          <w:sz w:val="24"/>
          <w:szCs w:val="24"/>
        </w:rPr>
        <w:t>’s</w:t>
      </w:r>
      <w:r w:rsidR="00B508ED">
        <w:rPr>
          <w:sz w:val="24"/>
          <w:szCs w:val="24"/>
        </w:rPr>
        <w:t xml:space="preserve"> wishes.</w:t>
      </w:r>
    </w:p>
    <w:p w:rsidR="00BB3D77" w:rsidRDefault="00BB3D77" w:rsidP="00726EE6">
      <w:pPr>
        <w:pStyle w:val="NoSpacing"/>
        <w:rPr>
          <w:sz w:val="24"/>
          <w:szCs w:val="24"/>
          <w:u w:val="single"/>
        </w:rPr>
      </w:pPr>
    </w:p>
    <w:p w:rsidR="00BB3D77" w:rsidRPr="00595E23" w:rsidRDefault="00BB3D77" w:rsidP="00726EE6">
      <w:pPr>
        <w:pStyle w:val="NoSpacing"/>
        <w:rPr>
          <w:sz w:val="24"/>
          <w:szCs w:val="24"/>
          <w:u w:val="single"/>
        </w:rPr>
      </w:pPr>
      <w:r>
        <w:rPr>
          <w:sz w:val="24"/>
          <w:szCs w:val="24"/>
          <w:u w:val="single"/>
        </w:rPr>
        <w:t>Determining what type of communication device is being c</w:t>
      </w:r>
      <w:r w:rsidR="005558C4">
        <w:rPr>
          <w:sz w:val="24"/>
          <w:szCs w:val="24"/>
          <w:u w:val="single"/>
        </w:rPr>
        <w:t>ontacted is extremely difficult</w:t>
      </w:r>
    </w:p>
    <w:p w:rsidR="002E0932" w:rsidRDefault="002E0932" w:rsidP="00726EE6">
      <w:pPr>
        <w:pStyle w:val="NoSpacing"/>
        <w:rPr>
          <w:sz w:val="24"/>
          <w:szCs w:val="24"/>
        </w:rPr>
      </w:pPr>
    </w:p>
    <w:p w:rsidR="00A630D6" w:rsidRDefault="00B508ED" w:rsidP="00726EE6">
      <w:pPr>
        <w:pStyle w:val="NoSpacing"/>
        <w:rPr>
          <w:sz w:val="24"/>
          <w:szCs w:val="24"/>
        </w:rPr>
      </w:pPr>
      <w:r>
        <w:rPr>
          <w:sz w:val="24"/>
          <w:szCs w:val="24"/>
        </w:rPr>
        <w:t xml:space="preserve">Another challenge with the TCPA </w:t>
      </w:r>
      <w:r w:rsidR="00555673">
        <w:rPr>
          <w:sz w:val="24"/>
          <w:szCs w:val="24"/>
        </w:rPr>
        <w:t xml:space="preserve">is that the regulations and restrictions differ </w:t>
      </w:r>
      <w:r>
        <w:rPr>
          <w:sz w:val="24"/>
          <w:szCs w:val="24"/>
        </w:rPr>
        <w:t xml:space="preserve">depending upon </w:t>
      </w:r>
      <w:r w:rsidR="00555673">
        <w:rPr>
          <w:sz w:val="24"/>
          <w:szCs w:val="24"/>
        </w:rPr>
        <w:t xml:space="preserve">the type of </w:t>
      </w:r>
      <w:r>
        <w:rPr>
          <w:sz w:val="24"/>
          <w:szCs w:val="24"/>
        </w:rPr>
        <w:t>device is bein</w:t>
      </w:r>
      <w:r w:rsidR="00555673">
        <w:rPr>
          <w:sz w:val="24"/>
          <w:szCs w:val="24"/>
        </w:rPr>
        <w:t>g called. For example, the restrictions</w:t>
      </w:r>
      <w:r>
        <w:rPr>
          <w:sz w:val="24"/>
          <w:szCs w:val="24"/>
        </w:rPr>
        <w:t xml:space="preserve"> for cellular phones differ from t</w:t>
      </w:r>
      <w:r w:rsidR="007D0E1D">
        <w:rPr>
          <w:sz w:val="24"/>
          <w:szCs w:val="24"/>
        </w:rPr>
        <w:t>he r</w:t>
      </w:r>
      <w:r w:rsidR="00555673">
        <w:rPr>
          <w:sz w:val="24"/>
          <w:szCs w:val="24"/>
        </w:rPr>
        <w:t>estriction</w:t>
      </w:r>
      <w:r w:rsidR="007D0E1D">
        <w:rPr>
          <w:sz w:val="24"/>
          <w:szCs w:val="24"/>
        </w:rPr>
        <w:t>s for land lines.</w:t>
      </w:r>
      <w:r w:rsidR="00823DA9">
        <w:rPr>
          <w:sz w:val="24"/>
          <w:szCs w:val="24"/>
        </w:rPr>
        <w:t xml:space="preserve"> </w:t>
      </w:r>
      <w:r w:rsidR="007D0E1D">
        <w:rPr>
          <w:sz w:val="24"/>
          <w:szCs w:val="24"/>
        </w:rPr>
        <w:t xml:space="preserve">The result is that credit unions are left with the burdensome and near impossible task of trying to determine what type of device is being contacted. Although </w:t>
      </w:r>
      <w:r w:rsidR="00A96E11">
        <w:rPr>
          <w:sz w:val="24"/>
          <w:szCs w:val="24"/>
        </w:rPr>
        <w:t xml:space="preserve">credit unions </w:t>
      </w:r>
      <w:r w:rsidR="00AC6D38">
        <w:rPr>
          <w:sz w:val="24"/>
          <w:szCs w:val="24"/>
        </w:rPr>
        <w:t>can</w:t>
      </w:r>
      <w:r w:rsidR="00A4017B">
        <w:rPr>
          <w:sz w:val="24"/>
          <w:szCs w:val="24"/>
        </w:rPr>
        <w:t>, and many</w:t>
      </w:r>
      <w:r w:rsidR="00A96E11">
        <w:rPr>
          <w:sz w:val="24"/>
          <w:szCs w:val="24"/>
        </w:rPr>
        <w:t xml:space="preserve"> do,</w:t>
      </w:r>
      <w:r w:rsidR="007D0E1D">
        <w:rPr>
          <w:sz w:val="24"/>
          <w:szCs w:val="24"/>
        </w:rPr>
        <w:t xml:space="preserve"> gather this type of information up front. Members sometimes make mistakes (e.g. classifying a cellular phone as a land line).</w:t>
      </w:r>
      <w:r w:rsidR="00823DA9">
        <w:rPr>
          <w:sz w:val="24"/>
          <w:szCs w:val="24"/>
        </w:rPr>
        <w:t xml:space="preserve"> </w:t>
      </w:r>
      <w:r w:rsidR="00A96E11">
        <w:rPr>
          <w:sz w:val="24"/>
          <w:szCs w:val="24"/>
        </w:rPr>
        <w:t>T</w:t>
      </w:r>
      <w:r w:rsidR="007D0E1D">
        <w:rPr>
          <w:sz w:val="24"/>
          <w:szCs w:val="24"/>
        </w:rPr>
        <w:t xml:space="preserve">here are outside resources that can help determine the type of device to which a phone number is assigned. However, these resources are expensive, are not always completely accurate and the data </w:t>
      </w:r>
      <w:r w:rsidR="00A96E11">
        <w:rPr>
          <w:sz w:val="24"/>
          <w:szCs w:val="24"/>
        </w:rPr>
        <w:t>would still need to be scrubbed. This</w:t>
      </w:r>
      <w:r w:rsidR="007D0E1D">
        <w:rPr>
          <w:sz w:val="24"/>
          <w:szCs w:val="24"/>
        </w:rPr>
        <w:t xml:space="preserve"> creat</w:t>
      </w:r>
      <w:r w:rsidR="00A96E11">
        <w:rPr>
          <w:sz w:val="24"/>
          <w:szCs w:val="24"/>
        </w:rPr>
        <w:t>e</w:t>
      </w:r>
      <w:r w:rsidR="00555673">
        <w:rPr>
          <w:sz w:val="24"/>
          <w:szCs w:val="24"/>
        </w:rPr>
        <w:t>s</w:t>
      </w:r>
      <w:r w:rsidR="007D0E1D">
        <w:rPr>
          <w:sz w:val="24"/>
          <w:szCs w:val="24"/>
        </w:rPr>
        <w:t xml:space="preserve"> additional work and </w:t>
      </w:r>
      <w:r w:rsidR="00A96E11">
        <w:rPr>
          <w:sz w:val="24"/>
          <w:szCs w:val="24"/>
        </w:rPr>
        <w:t>additional</w:t>
      </w:r>
      <w:r w:rsidR="007D0E1D">
        <w:rPr>
          <w:sz w:val="24"/>
          <w:szCs w:val="24"/>
        </w:rPr>
        <w:t xml:space="preserve"> </w:t>
      </w:r>
      <w:r w:rsidR="00A96E11">
        <w:rPr>
          <w:sz w:val="24"/>
          <w:szCs w:val="24"/>
        </w:rPr>
        <w:t>c</w:t>
      </w:r>
      <w:r w:rsidR="007D0E1D">
        <w:rPr>
          <w:sz w:val="24"/>
          <w:szCs w:val="24"/>
        </w:rPr>
        <w:t xml:space="preserve">osts </w:t>
      </w:r>
      <w:r w:rsidR="00A96E11">
        <w:rPr>
          <w:sz w:val="24"/>
          <w:szCs w:val="24"/>
        </w:rPr>
        <w:t xml:space="preserve">that </w:t>
      </w:r>
      <w:r w:rsidR="007D0E1D">
        <w:rPr>
          <w:sz w:val="24"/>
          <w:szCs w:val="24"/>
        </w:rPr>
        <w:t>ultimately get past onto the end consumer. We ask that the</w:t>
      </w:r>
      <w:r w:rsidR="00A96E11">
        <w:rPr>
          <w:sz w:val="24"/>
          <w:szCs w:val="24"/>
        </w:rPr>
        <w:t xml:space="preserve"> FCC create</w:t>
      </w:r>
      <w:r w:rsidR="007D0E1D">
        <w:rPr>
          <w:sz w:val="24"/>
          <w:szCs w:val="24"/>
        </w:rPr>
        <w:t xml:space="preserve"> a presumption that the information provided by a </w:t>
      </w:r>
      <w:r w:rsidR="00A96E11">
        <w:rPr>
          <w:sz w:val="24"/>
          <w:szCs w:val="24"/>
        </w:rPr>
        <w:t>consumer is correct</w:t>
      </w:r>
      <w:r w:rsidR="00555673">
        <w:rPr>
          <w:sz w:val="24"/>
          <w:szCs w:val="24"/>
        </w:rPr>
        <w:t>,</w:t>
      </w:r>
      <w:r w:rsidR="00A96E11">
        <w:rPr>
          <w:sz w:val="24"/>
          <w:szCs w:val="24"/>
        </w:rPr>
        <w:t xml:space="preserve"> and that by giving a phone number to the entity, the consumers is presumed to have given the entity the </w:t>
      </w:r>
      <w:r w:rsidR="007D0E1D">
        <w:rPr>
          <w:sz w:val="24"/>
          <w:szCs w:val="24"/>
        </w:rPr>
        <w:t xml:space="preserve">authority to contact that number by any method regardless of what type of device to which </w:t>
      </w:r>
      <w:r w:rsidR="00555673">
        <w:rPr>
          <w:sz w:val="24"/>
          <w:szCs w:val="24"/>
        </w:rPr>
        <w:t>that number</w:t>
      </w:r>
      <w:r w:rsidR="007D0E1D">
        <w:rPr>
          <w:sz w:val="24"/>
          <w:szCs w:val="24"/>
        </w:rPr>
        <w:t xml:space="preserve"> is assigned.</w:t>
      </w:r>
    </w:p>
    <w:p w:rsidR="009E378D" w:rsidRDefault="009E378D" w:rsidP="00726EE6">
      <w:pPr>
        <w:pStyle w:val="NoSpacing"/>
        <w:rPr>
          <w:sz w:val="24"/>
          <w:szCs w:val="24"/>
        </w:rPr>
      </w:pPr>
    </w:p>
    <w:p w:rsidR="009E378D" w:rsidRDefault="009E378D" w:rsidP="00726EE6">
      <w:pPr>
        <w:pStyle w:val="NoSpacing"/>
        <w:rPr>
          <w:sz w:val="24"/>
          <w:szCs w:val="24"/>
        </w:rPr>
      </w:pPr>
      <w:r>
        <w:rPr>
          <w:sz w:val="24"/>
          <w:szCs w:val="24"/>
        </w:rPr>
        <w:t>We support efforts to protect consumers</w:t>
      </w:r>
      <w:r w:rsidR="00D979DF">
        <w:rPr>
          <w:sz w:val="24"/>
          <w:szCs w:val="24"/>
        </w:rPr>
        <w:t>,</w:t>
      </w:r>
      <w:r w:rsidR="00562482">
        <w:rPr>
          <w:sz w:val="24"/>
          <w:szCs w:val="24"/>
        </w:rPr>
        <w:t xml:space="preserve"> and therefor support the purposes for which the TCPA was enacted. However</w:t>
      </w:r>
      <w:r w:rsidR="00D979DF">
        <w:rPr>
          <w:sz w:val="24"/>
          <w:szCs w:val="24"/>
        </w:rPr>
        <w:t xml:space="preserve">, the TCPA is not </w:t>
      </w:r>
      <w:r w:rsidR="00562482">
        <w:rPr>
          <w:sz w:val="24"/>
          <w:szCs w:val="24"/>
        </w:rPr>
        <w:t>up</w:t>
      </w:r>
      <w:r w:rsidR="00823DA9">
        <w:rPr>
          <w:sz w:val="24"/>
          <w:szCs w:val="24"/>
        </w:rPr>
        <w:t>-</w:t>
      </w:r>
      <w:r w:rsidR="00562482">
        <w:rPr>
          <w:sz w:val="24"/>
          <w:szCs w:val="24"/>
        </w:rPr>
        <w:t>to</w:t>
      </w:r>
      <w:r w:rsidR="00823DA9">
        <w:rPr>
          <w:sz w:val="24"/>
          <w:szCs w:val="24"/>
        </w:rPr>
        <w:t>-</w:t>
      </w:r>
      <w:r w:rsidR="00562482">
        <w:rPr>
          <w:sz w:val="24"/>
          <w:szCs w:val="24"/>
        </w:rPr>
        <w:t>date with the current methods by which people communicate</w:t>
      </w:r>
      <w:r w:rsidR="00D979DF">
        <w:rPr>
          <w:sz w:val="24"/>
          <w:szCs w:val="24"/>
        </w:rPr>
        <w:t>,</w:t>
      </w:r>
      <w:r w:rsidR="00562482">
        <w:rPr>
          <w:sz w:val="24"/>
          <w:szCs w:val="24"/>
        </w:rPr>
        <w:t xml:space="preserve"> and it does not account for the unique relationship that credit unions </w:t>
      </w:r>
      <w:r w:rsidR="00562482">
        <w:rPr>
          <w:sz w:val="24"/>
          <w:szCs w:val="24"/>
        </w:rPr>
        <w:lastRenderedPageBreak/>
        <w:t>have with their members.</w:t>
      </w:r>
      <w:r w:rsidR="00823DA9">
        <w:rPr>
          <w:sz w:val="24"/>
          <w:szCs w:val="24"/>
        </w:rPr>
        <w:t xml:space="preserve"> </w:t>
      </w:r>
      <w:r w:rsidR="00562482">
        <w:rPr>
          <w:sz w:val="24"/>
          <w:szCs w:val="24"/>
        </w:rPr>
        <w:t>We support CUNA’s Petition and ask that you consider their requests as well as the request</w:t>
      </w:r>
      <w:r w:rsidR="00D979DF">
        <w:rPr>
          <w:sz w:val="24"/>
          <w:szCs w:val="24"/>
        </w:rPr>
        <w:t>s</w:t>
      </w:r>
      <w:r w:rsidR="00562482">
        <w:rPr>
          <w:sz w:val="24"/>
          <w:szCs w:val="24"/>
        </w:rPr>
        <w:t xml:space="preserve"> in this letter.</w:t>
      </w:r>
      <w:r w:rsidR="00823DA9">
        <w:rPr>
          <w:sz w:val="24"/>
          <w:szCs w:val="24"/>
        </w:rPr>
        <w:t xml:space="preserve"> </w:t>
      </w:r>
      <w:r w:rsidR="00562482">
        <w:rPr>
          <w:sz w:val="24"/>
          <w:szCs w:val="24"/>
        </w:rPr>
        <w:t xml:space="preserve">Thank you for taking into consideration MnCUN’s commentary on this matter. </w:t>
      </w:r>
    </w:p>
    <w:p w:rsidR="007D0E1D" w:rsidRDefault="007D0E1D" w:rsidP="00726EE6">
      <w:pPr>
        <w:pStyle w:val="NoSpacing"/>
        <w:rPr>
          <w:sz w:val="24"/>
          <w:szCs w:val="24"/>
        </w:rPr>
      </w:pPr>
    </w:p>
    <w:p w:rsidR="00EE4D3F" w:rsidRPr="00C80626" w:rsidRDefault="00EE4D3F" w:rsidP="004E218E">
      <w:pPr>
        <w:pStyle w:val="NoSpacing"/>
        <w:rPr>
          <w:sz w:val="24"/>
          <w:szCs w:val="24"/>
        </w:rPr>
      </w:pPr>
      <w:r w:rsidRPr="00C80626">
        <w:rPr>
          <w:sz w:val="24"/>
          <w:szCs w:val="24"/>
        </w:rPr>
        <w:t>If you have any questions about our comments, please do not hesitate to contact us at (651) 288-5170.</w:t>
      </w:r>
    </w:p>
    <w:p w:rsidR="00B54CF8" w:rsidRPr="00C80626" w:rsidRDefault="00B54CF8" w:rsidP="00EE4D3F">
      <w:pPr>
        <w:pStyle w:val="NoSpacing"/>
        <w:rPr>
          <w:sz w:val="24"/>
          <w:szCs w:val="24"/>
        </w:rPr>
      </w:pPr>
    </w:p>
    <w:p w:rsidR="00EE4D3F" w:rsidRPr="00C80626" w:rsidRDefault="00EE4D3F" w:rsidP="00EE4D3F">
      <w:pPr>
        <w:pStyle w:val="NoSpacing"/>
        <w:rPr>
          <w:sz w:val="24"/>
          <w:szCs w:val="24"/>
        </w:rPr>
      </w:pPr>
      <w:r w:rsidRPr="00C80626">
        <w:rPr>
          <w:sz w:val="24"/>
          <w:szCs w:val="24"/>
        </w:rPr>
        <w:t>Sincerely,</w:t>
      </w:r>
    </w:p>
    <w:p w:rsidR="00EE4D3F" w:rsidRDefault="00EE4D3F" w:rsidP="00EE4D3F">
      <w:pPr>
        <w:pStyle w:val="NoSpacing"/>
        <w:rPr>
          <w:sz w:val="24"/>
          <w:szCs w:val="24"/>
        </w:rPr>
      </w:pPr>
    </w:p>
    <w:p w:rsidR="00EE4D3F" w:rsidRPr="00C80626" w:rsidRDefault="00BF06DD" w:rsidP="00EE4D3F">
      <w:pPr>
        <w:pStyle w:val="NoSpacing"/>
        <w:rPr>
          <w:sz w:val="24"/>
          <w:szCs w:val="24"/>
        </w:rPr>
      </w:pPr>
      <w:r>
        <w:rPr>
          <w:noProof/>
        </w:rPr>
        <w:drawing>
          <wp:inline distT="0" distB="0" distL="0" distR="0">
            <wp:extent cx="2218055" cy="927735"/>
            <wp:effectExtent l="0" t="0" r="0" b="5715"/>
            <wp:docPr id="1" name="Picture 1" descr="C:\Users\ttacheny\AppData\Local\Microsoft\Windows\INetCache\Content.Word\MarkDCummins - NEW 201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tacheny\AppData\Local\Microsoft\Windows\INetCache\Content.Word\MarkDCummins - NEW 2015.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8055" cy="927735"/>
                    </a:xfrm>
                    <a:prstGeom prst="rect">
                      <a:avLst/>
                    </a:prstGeom>
                    <a:noFill/>
                    <a:ln>
                      <a:noFill/>
                    </a:ln>
                  </pic:spPr>
                </pic:pic>
              </a:graphicData>
            </a:graphic>
          </wp:inline>
        </w:drawing>
      </w:r>
    </w:p>
    <w:p w:rsidR="00EE4D3F" w:rsidRDefault="00F3196B" w:rsidP="00EE4D3F">
      <w:pPr>
        <w:pStyle w:val="NoSpacing"/>
        <w:rPr>
          <w:sz w:val="24"/>
          <w:szCs w:val="24"/>
        </w:rPr>
      </w:pPr>
      <w:r>
        <w:rPr>
          <w:sz w:val="24"/>
          <w:szCs w:val="24"/>
        </w:rPr>
        <w:t>Mark Cummins</w:t>
      </w:r>
    </w:p>
    <w:p w:rsidR="00F3196B" w:rsidRDefault="00F3196B" w:rsidP="00EE4D3F">
      <w:pPr>
        <w:pStyle w:val="NoSpacing"/>
        <w:rPr>
          <w:sz w:val="24"/>
          <w:szCs w:val="24"/>
        </w:rPr>
      </w:pPr>
      <w:r>
        <w:rPr>
          <w:sz w:val="24"/>
          <w:szCs w:val="24"/>
        </w:rPr>
        <w:t>President &amp; CEO</w:t>
      </w:r>
    </w:p>
    <w:p w:rsidR="00F3196B" w:rsidRPr="00C80626" w:rsidRDefault="00F3196B" w:rsidP="00EE4D3F">
      <w:pPr>
        <w:pStyle w:val="NoSpacing"/>
        <w:rPr>
          <w:sz w:val="24"/>
          <w:szCs w:val="24"/>
        </w:rPr>
      </w:pPr>
      <w:r>
        <w:rPr>
          <w:sz w:val="24"/>
          <w:szCs w:val="24"/>
        </w:rPr>
        <w:t>Minnesota Credit Union Network</w:t>
      </w:r>
    </w:p>
    <w:p w:rsidR="00EE4D3F" w:rsidRPr="0061559C" w:rsidRDefault="00EE4D3F" w:rsidP="00EE4D3F">
      <w:pPr>
        <w:tabs>
          <w:tab w:val="left" w:pos="3195"/>
        </w:tabs>
        <w:rPr>
          <w:sz w:val="24"/>
          <w:szCs w:val="24"/>
        </w:rPr>
      </w:pPr>
      <w:r w:rsidRPr="0061559C">
        <w:rPr>
          <w:sz w:val="24"/>
          <w:szCs w:val="24"/>
        </w:rPr>
        <w:tab/>
      </w:r>
    </w:p>
    <w:p w:rsidR="000C26D0" w:rsidRPr="004D727B" w:rsidRDefault="004D727B" w:rsidP="004D727B">
      <w:pPr>
        <w:tabs>
          <w:tab w:val="left" w:pos="3195"/>
        </w:tabs>
      </w:pPr>
      <w:r>
        <w:tab/>
      </w:r>
    </w:p>
    <w:sectPr w:rsidR="000C26D0" w:rsidRPr="004D727B" w:rsidSect="009230A3">
      <w:headerReference w:type="even" r:id="rId9"/>
      <w:headerReference w:type="default" r:id="rId10"/>
      <w:footerReference w:type="default" r:id="rId11"/>
      <w:headerReference w:type="first" r:id="rId12"/>
      <w:pgSz w:w="12240" w:h="15840"/>
      <w:pgMar w:top="25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EBB" w:rsidRDefault="00AD1EBB" w:rsidP="004D727B">
      <w:pPr>
        <w:spacing w:after="0" w:line="240" w:lineRule="auto"/>
      </w:pPr>
      <w:r>
        <w:separator/>
      </w:r>
    </w:p>
  </w:endnote>
  <w:endnote w:type="continuationSeparator" w:id="0">
    <w:p w:rsidR="00AD1EBB" w:rsidRDefault="00AD1EBB" w:rsidP="004D7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DEA" w:rsidRDefault="007E0DEA">
    <w:pPr>
      <w:pStyle w:val="Footer"/>
    </w:pPr>
    <w:r>
      <w:rPr>
        <w:noProof/>
      </w:rPr>
      <w:drawing>
        <wp:anchor distT="0" distB="0" distL="114300" distR="114300" simplePos="0" relativeHeight="251660288" behindDoc="1" locked="0" layoutInCell="1" allowOverlap="1">
          <wp:simplePos x="0" y="0"/>
          <wp:positionH relativeFrom="page">
            <wp:align>left</wp:align>
          </wp:positionH>
          <wp:positionV relativeFrom="paragraph">
            <wp:posOffset>-10160</wp:posOffset>
          </wp:positionV>
          <wp:extent cx="7741920" cy="6286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nCUN Letterhead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1920" cy="6286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EBB" w:rsidRDefault="00AD1EBB" w:rsidP="004D727B">
      <w:pPr>
        <w:spacing w:after="0" w:line="240" w:lineRule="auto"/>
      </w:pPr>
      <w:r>
        <w:separator/>
      </w:r>
    </w:p>
  </w:footnote>
  <w:footnote w:type="continuationSeparator" w:id="0">
    <w:p w:rsidR="00AD1EBB" w:rsidRDefault="00AD1EBB" w:rsidP="004D727B">
      <w:pPr>
        <w:spacing w:after="0" w:line="240" w:lineRule="auto"/>
      </w:pPr>
      <w:r>
        <w:continuationSeparator/>
      </w:r>
    </w:p>
  </w:footnote>
  <w:footnote w:id="1">
    <w:p w:rsidR="007E0DEA" w:rsidRDefault="007E0DEA">
      <w:pPr>
        <w:pStyle w:val="FootnoteText"/>
      </w:pPr>
      <w:r>
        <w:rPr>
          <w:rStyle w:val="FootnoteReference"/>
        </w:rPr>
        <w:footnoteRef/>
      </w:r>
      <w:r>
        <w:t xml:space="preserve"> </w:t>
      </w:r>
      <w:r w:rsidRPr="00223621">
        <w:t>Express Congressional intent in passing the TCPA was to “protect the privacy interests of residential telephone subscribers” by placing certain restrictions on the use of unsolicited, automated phone calls made by telemarketers who were “blasting” out advertising by the use of both “facsimile machines and automatic dialers.”</w:t>
      </w:r>
      <w:r w:rsidR="00823DA9">
        <w:t xml:space="preserve"> </w:t>
      </w:r>
      <w:r w:rsidRPr="00223621">
        <w:t>(See, e.g. Senate Report No. 102-178, October 8, 1991, 1991 U.S.C.C.A.N. 1968.)</w:t>
      </w:r>
    </w:p>
  </w:footnote>
  <w:footnote w:id="2">
    <w:p w:rsidR="007E0DEA" w:rsidRDefault="007E0DEA" w:rsidP="00223621">
      <w:pPr>
        <w:pStyle w:val="FootnoteText"/>
      </w:pPr>
      <w:r>
        <w:rPr>
          <w:rStyle w:val="FootnoteReference"/>
        </w:rPr>
        <w:footnoteRef/>
      </w:r>
      <w:r>
        <w:t xml:space="preserve"> The TCPA defines “automatic telephone dialing system” as “equipment which has the capacity: (A) to store or produce telephone numbers to be called, using a random or sequential number generator; and (B) to dial such numbers. (47 USC § 227(a)(1)).</w:t>
      </w:r>
      <w:r w:rsidR="00823DA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DEA" w:rsidRDefault="00A6461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622251" o:spid="_x0000_s2053" type="#_x0000_t75" style="position:absolute;margin-left:0;margin-top:0;width:612pt;height:11in;z-index:-251657216;mso-position-horizontal:center;mso-position-horizontal-relative:margin;mso-position-vertical:center;mso-position-vertical-relative:margin" o:allowincell="f">
          <v:imagedata r:id="rId1" o:title="MnCUN Letterhead 201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DEA" w:rsidRDefault="007E0DEA">
    <w:pPr>
      <w:pStyle w:val="Header"/>
    </w:pPr>
    <w:r>
      <w:rPr>
        <w:noProof/>
      </w:rPr>
      <w:drawing>
        <wp:anchor distT="0" distB="0" distL="114300" distR="114300" simplePos="0" relativeHeight="251661312" behindDoc="1" locked="0" layoutInCell="1" allowOverlap="1">
          <wp:simplePos x="0" y="0"/>
          <wp:positionH relativeFrom="column">
            <wp:posOffset>-904875</wp:posOffset>
          </wp:positionH>
          <wp:positionV relativeFrom="paragraph">
            <wp:posOffset>-457200</wp:posOffset>
          </wp:positionV>
          <wp:extent cx="7757340" cy="13335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nCUN Letterhead2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7340" cy="13335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DEA" w:rsidRDefault="00A6461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622250" o:spid="_x0000_s2052" type="#_x0000_t75" style="position:absolute;margin-left:0;margin-top:0;width:612pt;height:11in;z-index:-251658240;mso-position-horizontal:center;mso-position-horizontal-relative:margin;mso-position-vertical:center;mso-position-vertical-relative:margin" o:allowincell="f">
          <v:imagedata r:id="rId1" o:title="MnCUN Letterhead 2016"/>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27B"/>
    <w:rsid w:val="000006DF"/>
    <w:rsid w:val="0000298F"/>
    <w:rsid w:val="00031DF3"/>
    <w:rsid w:val="00060DA0"/>
    <w:rsid w:val="00082129"/>
    <w:rsid w:val="000C26D0"/>
    <w:rsid w:val="00122DA1"/>
    <w:rsid w:val="00152E71"/>
    <w:rsid w:val="001759EC"/>
    <w:rsid w:val="0018596F"/>
    <w:rsid w:val="001B5093"/>
    <w:rsid w:val="001D4FDA"/>
    <w:rsid w:val="001F4C1C"/>
    <w:rsid w:val="00205A00"/>
    <w:rsid w:val="00223621"/>
    <w:rsid w:val="002247B9"/>
    <w:rsid w:val="00251771"/>
    <w:rsid w:val="00293EDE"/>
    <w:rsid w:val="002A1E7A"/>
    <w:rsid w:val="002D0C6E"/>
    <w:rsid w:val="002E0932"/>
    <w:rsid w:val="002F0A24"/>
    <w:rsid w:val="00303C96"/>
    <w:rsid w:val="00315B18"/>
    <w:rsid w:val="00326DE4"/>
    <w:rsid w:val="00344349"/>
    <w:rsid w:val="0038112F"/>
    <w:rsid w:val="00384FFB"/>
    <w:rsid w:val="00385B6E"/>
    <w:rsid w:val="003C0537"/>
    <w:rsid w:val="003C59CF"/>
    <w:rsid w:val="003D6F86"/>
    <w:rsid w:val="003E00F9"/>
    <w:rsid w:val="0042628E"/>
    <w:rsid w:val="004612E6"/>
    <w:rsid w:val="00483679"/>
    <w:rsid w:val="004B731B"/>
    <w:rsid w:val="004D727B"/>
    <w:rsid w:val="004E218E"/>
    <w:rsid w:val="004F03E2"/>
    <w:rsid w:val="00555673"/>
    <w:rsid w:val="005558C4"/>
    <w:rsid w:val="00562482"/>
    <w:rsid w:val="0056715D"/>
    <w:rsid w:val="00586F8C"/>
    <w:rsid w:val="00595E23"/>
    <w:rsid w:val="005D7500"/>
    <w:rsid w:val="006369D4"/>
    <w:rsid w:val="006525A7"/>
    <w:rsid w:val="00710AFB"/>
    <w:rsid w:val="007130A8"/>
    <w:rsid w:val="00715C09"/>
    <w:rsid w:val="00726E16"/>
    <w:rsid w:val="00726EE6"/>
    <w:rsid w:val="007D0E1D"/>
    <w:rsid w:val="007D3C4A"/>
    <w:rsid w:val="007D642A"/>
    <w:rsid w:val="007E0DEA"/>
    <w:rsid w:val="007F2F2B"/>
    <w:rsid w:val="00807C9C"/>
    <w:rsid w:val="00823DA9"/>
    <w:rsid w:val="00830205"/>
    <w:rsid w:val="008601D4"/>
    <w:rsid w:val="00897DC0"/>
    <w:rsid w:val="00916FF6"/>
    <w:rsid w:val="009230A3"/>
    <w:rsid w:val="00984BB0"/>
    <w:rsid w:val="009B5180"/>
    <w:rsid w:val="009E378D"/>
    <w:rsid w:val="00A24729"/>
    <w:rsid w:val="00A4017B"/>
    <w:rsid w:val="00A450C7"/>
    <w:rsid w:val="00A630D6"/>
    <w:rsid w:val="00A6461E"/>
    <w:rsid w:val="00A664BB"/>
    <w:rsid w:val="00A96E11"/>
    <w:rsid w:val="00AC3520"/>
    <w:rsid w:val="00AC6D38"/>
    <w:rsid w:val="00AD1EBB"/>
    <w:rsid w:val="00AF4D4B"/>
    <w:rsid w:val="00B13C30"/>
    <w:rsid w:val="00B23CFA"/>
    <w:rsid w:val="00B508ED"/>
    <w:rsid w:val="00B54CF8"/>
    <w:rsid w:val="00B944A6"/>
    <w:rsid w:val="00BB3D77"/>
    <w:rsid w:val="00BE25E0"/>
    <w:rsid w:val="00BF06DD"/>
    <w:rsid w:val="00C50FD7"/>
    <w:rsid w:val="00C80626"/>
    <w:rsid w:val="00CC5185"/>
    <w:rsid w:val="00CE49C8"/>
    <w:rsid w:val="00CE789B"/>
    <w:rsid w:val="00CF0B55"/>
    <w:rsid w:val="00D45EF1"/>
    <w:rsid w:val="00D73C43"/>
    <w:rsid w:val="00D979DF"/>
    <w:rsid w:val="00DA4916"/>
    <w:rsid w:val="00E245B8"/>
    <w:rsid w:val="00E36145"/>
    <w:rsid w:val="00E50158"/>
    <w:rsid w:val="00E71672"/>
    <w:rsid w:val="00EC0AF2"/>
    <w:rsid w:val="00EC2632"/>
    <w:rsid w:val="00EC74C4"/>
    <w:rsid w:val="00EE4D3F"/>
    <w:rsid w:val="00EF083F"/>
    <w:rsid w:val="00F11C0A"/>
    <w:rsid w:val="00F120B2"/>
    <w:rsid w:val="00F27B1D"/>
    <w:rsid w:val="00F3196B"/>
    <w:rsid w:val="00F64D07"/>
    <w:rsid w:val="00F87298"/>
    <w:rsid w:val="00FA3C88"/>
    <w:rsid w:val="00FC1F0C"/>
    <w:rsid w:val="00FC6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chartTrackingRefBased/>
  <w15:docId w15:val="{CC8D7269-9DFE-49C8-8EB5-A92A42D2D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1D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27B"/>
  </w:style>
  <w:style w:type="paragraph" w:styleId="Footer">
    <w:name w:val="footer"/>
    <w:basedOn w:val="Normal"/>
    <w:link w:val="FooterChar"/>
    <w:uiPriority w:val="99"/>
    <w:unhideWhenUsed/>
    <w:rsid w:val="004D7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27B"/>
  </w:style>
  <w:style w:type="paragraph" w:styleId="NoSpacing">
    <w:name w:val="No Spacing"/>
    <w:uiPriority w:val="1"/>
    <w:qFormat/>
    <w:rsid w:val="00EE4D3F"/>
    <w:pPr>
      <w:spacing w:after="0" w:line="240" w:lineRule="auto"/>
    </w:pPr>
  </w:style>
  <w:style w:type="character" w:styleId="Hyperlink">
    <w:name w:val="Hyperlink"/>
    <w:rsid w:val="00EE4D3F"/>
    <w:rPr>
      <w:color w:val="0000FF"/>
      <w:u w:val="single"/>
    </w:rPr>
  </w:style>
  <w:style w:type="character" w:customStyle="1" w:styleId="apple-converted-space">
    <w:name w:val="apple-converted-space"/>
    <w:basedOn w:val="DefaultParagraphFont"/>
    <w:rsid w:val="00726E16"/>
  </w:style>
  <w:style w:type="paragraph" w:styleId="BalloonText">
    <w:name w:val="Balloon Text"/>
    <w:basedOn w:val="Normal"/>
    <w:link w:val="BalloonTextChar"/>
    <w:uiPriority w:val="99"/>
    <w:semiHidden/>
    <w:unhideWhenUsed/>
    <w:rsid w:val="00EC26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632"/>
    <w:rPr>
      <w:rFonts w:ascii="Segoe UI" w:hAnsi="Segoe UI" w:cs="Segoe UI"/>
      <w:sz w:val="18"/>
      <w:szCs w:val="18"/>
    </w:rPr>
  </w:style>
  <w:style w:type="character" w:styleId="UnresolvedMention">
    <w:name w:val="Unresolved Mention"/>
    <w:basedOn w:val="DefaultParagraphFont"/>
    <w:uiPriority w:val="99"/>
    <w:semiHidden/>
    <w:unhideWhenUsed/>
    <w:rsid w:val="00385B6E"/>
    <w:rPr>
      <w:color w:val="808080"/>
      <w:shd w:val="clear" w:color="auto" w:fill="E6E6E6"/>
    </w:rPr>
  </w:style>
  <w:style w:type="paragraph" w:styleId="FootnoteText">
    <w:name w:val="footnote text"/>
    <w:basedOn w:val="Normal"/>
    <w:link w:val="FootnoteTextChar"/>
    <w:uiPriority w:val="99"/>
    <w:semiHidden/>
    <w:unhideWhenUsed/>
    <w:rsid w:val="002236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3621"/>
    <w:rPr>
      <w:sz w:val="20"/>
      <w:szCs w:val="20"/>
    </w:rPr>
  </w:style>
  <w:style w:type="character" w:styleId="FootnoteReference">
    <w:name w:val="footnote reference"/>
    <w:basedOn w:val="DefaultParagraphFont"/>
    <w:uiPriority w:val="99"/>
    <w:semiHidden/>
    <w:unhideWhenUsed/>
    <w:rsid w:val="00223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474086">
      <w:bodyDiv w:val="1"/>
      <w:marLeft w:val="0"/>
      <w:marRight w:val="0"/>
      <w:marTop w:val="0"/>
      <w:marBottom w:val="0"/>
      <w:divBdr>
        <w:top w:val="none" w:sz="0" w:space="0" w:color="auto"/>
        <w:left w:val="none" w:sz="0" w:space="0" w:color="auto"/>
        <w:bottom w:val="none" w:sz="0" w:space="0" w:color="auto"/>
        <w:right w:val="none" w:sz="0" w:space="0" w:color="auto"/>
      </w:divBdr>
      <w:divsChild>
        <w:div w:id="1967392699">
          <w:marLeft w:val="240"/>
          <w:marRight w:val="0"/>
          <w:marTop w:val="60"/>
          <w:marBottom w:val="60"/>
          <w:divBdr>
            <w:top w:val="none" w:sz="0" w:space="0" w:color="auto"/>
            <w:left w:val="none" w:sz="0" w:space="0" w:color="auto"/>
            <w:bottom w:val="none" w:sz="0" w:space="0" w:color="auto"/>
            <w:right w:val="none" w:sz="0" w:space="0" w:color="auto"/>
          </w:divBdr>
          <w:divsChild>
            <w:div w:id="1901018710">
              <w:marLeft w:val="0"/>
              <w:marRight w:val="0"/>
              <w:marTop w:val="0"/>
              <w:marBottom w:val="0"/>
              <w:divBdr>
                <w:top w:val="none" w:sz="0" w:space="0" w:color="auto"/>
                <w:left w:val="none" w:sz="0" w:space="0" w:color="auto"/>
                <w:bottom w:val="none" w:sz="0" w:space="0" w:color="auto"/>
                <w:right w:val="none" w:sz="0" w:space="0" w:color="auto"/>
              </w:divBdr>
            </w:div>
          </w:divsChild>
        </w:div>
        <w:div w:id="1204907954">
          <w:marLeft w:val="240"/>
          <w:marRight w:val="0"/>
          <w:marTop w:val="60"/>
          <w:marBottom w:val="60"/>
          <w:divBdr>
            <w:top w:val="none" w:sz="0" w:space="0" w:color="auto"/>
            <w:left w:val="none" w:sz="0" w:space="0" w:color="auto"/>
            <w:bottom w:val="none" w:sz="0" w:space="0" w:color="auto"/>
            <w:right w:val="none" w:sz="0" w:space="0" w:color="auto"/>
          </w:divBdr>
          <w:divsChild>
            <w:div w:id="3282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cc.gov/ecf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C79D1-D685-4909-8DC9-1049CFF8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53942A47</Template>
  <TotalTime>2</TotalTime>
  <Pages>4</Pages>
  <Words>1230</Words>
  <Characters>7014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Whittet</dc:creator>
  <cp:keywords/>
  <dc:description/>
  <cp:lastModifiedBy>Tim Tacheny</cp:lastModifiedBy>
  <cp:revision>3</cp:revision>
  <cp:lastPrinted>2017-11-02T20:54:00Z</cp:lastPrinted>
  <dcterms:created xsi:type="dcterms:W3CDTF">2017-11-03T14:31:00Z</dcterms:created>
  <dcterms:modified xsi:type="dcterms:W3CDTF">2017-11-06T14:43:00Z</dcterms:modified>
</cp:coreProperties>
</file>