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753D1" w14:textId="3773FA1A" w:rsidR="008B6C0B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Michela Lowry</w:t>
      </w:r>
    </w:p>
    <w:p w14:paraId="774E8059" w14:textId="02FB3078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Director of Operations</w:t>
      </w:r>
    </w:p>
    <w:p w14:paraId="797F1DA5" w14:textId="4EA9898A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HWC Consultants, LLC</w:t>
      </w:r>
    </w:p>
    <w:p w14:paraId="590E530A" w14:textId="33A864AB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739 Shrader St., San Francisco, CA 94117</w:t>
      </w:r>
    </w:p>
    <w:p w14:paraId="73C1C114" w14:textId="499C5C89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646.342.4952 (c)</w:t>
      </w:r>
    </w:p>
    <w:p w14:paraId="0E96DCE6" w14:textId="5F40E12A" w:rsidR="004B386D" w:rsidRPr="00F002B6" w:rsidRDefault="00EB29BA" w:rsidP="004B386D">
      <w:pPr>
        <w:jc w:val="right"/>
        <w:rPr>
          <w:rFonts w:ascii="Helvetica Neue" w:hAnsi="Helvetica Neue"/>
          <w:color w:val="000000" w:themeColor="text1"/>
        </w:rPr>
      </w:pPr>
      <w:hyperlink r:id="rId5" w:history="1">
        <w:r w:rsidRPr="00F002B6">
          <w:rPr>
            <w:rStyle w:val="Hyperlink"/>
            <w:rFonts w:ascii="Helvetica Neue" w:hAnsi="Helvetica Neue"/>
            <w:color w:val="000000" w:themeColor="text1"/>
          </w:rPr>
          <w:t>michela@hwc-consultants.com</w:t>
        </w:r>
      </w:hyperlink>
    </w:p>
    <w:p w14:paraId="570AE505" w14:textId="77777777" w:rsidR="00EB29BA" w:rsidRPr="00F002B6" w:rsidRDefault="00EB29BA" w:rsidP="00EB29BA">
      <w:pPr>
        <w:jc w:val="right"/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Consultant Registration Number: 17018905</w:t>
      </w:r>
    </w:p>
    <w:p w14:paraId="21A47984" w14:textId="77777777" w:rsidR="00EB29BA" w:rsidRPr="00F002B6" w:rsidRDefault="00EB29BA" w:rsidP="004B386D">
      <w:pPr>
        <w:jc w:val="right"/>
        <w:rPr>
          <w:rFonts w:ascii="Helvetica Neue" w:hAnsi="Helvetica Neue"/>
          <w:color w:val="000000" w:themeColor="text1"/>
        </w:rPr>
      </w:pPr>
    </w:p>
    <w:p w14:paraId="18DB5B84" w14:textId="77777777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</w:p>
    <w:p w14:paraId="22DD77E9" w14:textId="77777777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</w:p>
    <w:p w14:paraId="3B85D2C6" w14:textId="77777777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</w:p>
    <w:p w14:paraId="7CA22AD3" w14:textId="26521982" w:rsidR="004B386D" w:rsidRPr="00F002B6" w:rsidRDefault="00F002B6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TO:</w:t>
      </w:r>
    </w:p>
    <w:p w14:paraId="7C60C050" w14:textId="77777777" w:rsidR="004B386D" w:rsidRPr="004B386D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4B386D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Federal Communications Commission</w:t>
      </w:r>
      <w:r w:rsidRPr="004B386D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br/>
        <w:t>445 12th Street SW, Washington, DC 20554</w:t>
      </w:r>
    </w:p>
    <w:p w14:paraId="1F940AD8" w14:textId="77777777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</w:p>
    <w:p w14:paraId="3943AA9C" w14:textId="77777777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</w:p>
    <w:p w14:paraId="31B12695" w14:textId="4ABB83D3" w:rsidR="004B386D" w:rsidRPr="00F002B6" w:rsidRDefault="00F002B6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RE:</w:t>
      </w:r>
    </w:p>
    <w:p w14:paraId="574D84F2" w14:textId="30ADA93D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 xml:space="preserve">FCC Filing </w:t>
      </w:r>
      <w:r w:rsidR="00EB29BA"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–</w:t>
      </w: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 xml:space="preserve"> Appeal</w:t>
      </w:r>
    </w:p>
    <w:p w14:paraId="11426600" w14:textId="7E0BD37F" w:rsidR="00EB29BA" w:rsidRPr="00F002B6" w:rsidRDefault="00EB29BA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FY2019-2020</w:t>
      </w:r>
    </w:p>
    <w:p w14:paraId="6FC96F7E" w14:textId="314D4269" w:rsidR="00EB29BA" w:rsidRPr="00F002B6" w:rsidRDefault="00EB29BA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EB29BA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Ministerial &amp; Clerical Errors</w:t>
      </w:r>
    </w:p>
    <w:p w14:paraId="4703A063" w14:textId="44EF5D4C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4B386D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E-rate Program: CC Docket No. 02-6</w:t>
      </w:r>
    </w:p>
    <w:p w14:paraId="2DDAFC7C" w14:textId="5C01E855" w:rsidR="004B386D" w:rsidRPr="004B386D" w:rsidRDefault="004B386D" w:rsidP="004B386D">
      <w:pPr>
        <w:rPr>
          <w:rFonts w:ascii="Helvetica Neue" w:eastAsia="Times New Roman" w:hAnsi="Helvetica Neue" w:cs="Times New Roman"/>
          <w:color w:val="000000" w:themeColor="text1"/>
        </w:rPr>
      </w:pPr>
    </w:p>
    <w:p w14:paraId="3643C9B0" w14:textId="24701376" w:rsidR="004B386D" w:rsidRPr="00F002B6" w:rsidRDefault="004B386D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To whom it may concern:</w:t>
      </w:r>
    </w:p>
    <w:p w14:paraId="7AA76A75" w14:textId="03AC0D7C" w:rsidR="004B386D" w:rsidRPr="00F002B6" w:rsidRDefault="004B386D">
      <w:pPr>
        <w:rPr>
          <w:rFonts w:ascii="Helvetica Neue" w:hAnsi="Helvetica Neue"/>
          <w:color w:val="000000" w:themeColor="text1"/>
        </w:rPr>
      </w:pPr>
    </w:p>
    <w:p w14:paraId="7A8DEEA3" w14:textId="36A948E0" w:rsidR="004B386D" w:rsidRPr="00F002B6" w:rsidRDefault="004B386D">
      <w:pPr>
        <w:rPr>
          <w:rFonts w:ascii="Helvetica Neue" w:eastAsia="Times New Roman" w:hAnsi="Helvetica Neue" w:cs="Times New Roman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This letter is to support an appeal that we, HWC Consultants, LLC</w:t>
      </w:r>
      <w:r w:rsidR="00F002B6">
        <w:rPr>
          <w:rFonts w:ascii="Helvetica Neue" w:hAnsi="Helvetica Neue"/>
          <w:color w:val="000000" w:themeColor="text1"/>
        </w:rPr>
        <w:t>,</w:t>
      </w:r>
      <w:r w:rsidRPr="00F002B6">
        <w:rPr>
          <w:rFonts w:ascii="Helvetica Neue" w:hAnsi="Helvetica Neue"/>
          <w:color w:val="000000" w:themeColor="text1"/>
        </w:rPr>
        <w:t xml:space="preserve"> are making on behalf of our client, Escuela Popular Center for Training and Careers (BEN </w:t>
      </w:r>
      <w:r w:rsidRPr="00F002B6">
        <w:rPr>
          <w:rFonts w:ascii="Helvetica Neue" w:eastAsia="Times New Roman" w:hAnsi="Helvetica Neue" w:cs="Tahoma"/>
          <w:color w:val="000000" w:themeColor="text1"/>
        </w:rPr>
        <w:t>216440</w:t>
      </w:r>
      <w:r w:rsidRPr="00F002B6">
        <w:rPr>
          <w:rFonts w:ascii="Helvetica Neue" w:eastAsia="Times New Roman" w:hAnsi="Helvetica Neue" w:cs="Times New Roman"/>
          <w:color w:val="000000" w:themeColor="text1"/>
        </w:rPr>
        <w:t>).</w:t>
      </w:r>
    </w:p>
    <w:p w14:paraId="546D8367" w14:textId="0856EECC" w:rsidR="004B386D" w:rsidRPr="00F002B6" w:rsidRDefault="004B386D">
      <w:pPr>
        <w:rPr>
          <w:rFonts w:ascii="Helvetica Neue" w:eastAsia="Times New Roman" w:hAnsi="Helvetica Neue" w:cs="Times New Roman"/>
          <w:color w:val="000000" w:themeColor="text1"/>
        </w:rPr>
      </w:pPr>
    </w:p>
    <w:p w14:paraId="0A13BC90" w14:textId="78DDBD19" w:rsidR="004B386D" w:rsidRPr="00F002B6" w:rsidRDefault="004B386D">
      <w:pPr>
        <w:rPr>
          <w:rFonts w:ascii="Helvetica Neue" w:eastAsia="Times New Roman" w:hAnsi="Helvetica Neue" w:cs="Times New Roman"/>
          <w:color w:val="000000" w:themeColor="text1"/>
        </w:rPr>
      </w:pPr>
      <w:r w:rsidRPr="00F002B6">
        <w:rPr>
          <w:rFonts w:ascii="Helvetica Neue" w:eastAsia="Times New Roman" w:hAnsi="Helvetica Neue" w:cs="Times New Roman"/>
          <w:b/>
          <w:bCs/>
          <w:color w:val="000000" w:themeColor="text1"/>
        </w:rPr>
        <w:t>Issue: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 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>During the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 FY2019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 Form 470 process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, we updated the Portal Profile information with Escuela Popular’s total student count and eligible student count (see attachment titled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“Escuela USAC Portal Profile_2018-10-09”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).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As indicated, their student count was 1047 and their eligible student count was 945. However, w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hen filing the Form 471, we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failed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to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 notice that 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the student count and eligible student count </w:t>
      </w:r>
      <w:r w:rsidR="000836A7">
        <w:rPr>
          <w:rFonts w:ascii="Helvetica Neue" w:eastAsia="Times New Roman" w:hAnsi="Helvetica Neue" w:cs="Times New Roman"/>
          <w:color w:val="000000" w:themeColor="text1"/>
        </w:rPr>
        <w:t xml:space="preserve">(643 and 0, respectively) 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>were</w:t>
      </w:r>
      <w:r w:rsidR="000836A7">
        <w:rPr>
          <w:rFonts w:ascii="Helvetica Neue" w:eastAsia="Times New Roman" w:hAnsi="Helvetica Neue" w:cs="Times New Roman"/>
          <w:color w:val="000000" w:themeColor="text1"/>
        </w:rPr>
        <w:t xml:space="preserve"> completely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 different than what we </w:t>
      </w:r>
      <w:r w:rsidR="000836A7">
        <w:rPr>
          <w:rFonts w:ascii="Helvetica Neue" w:eastAsia="Times New Roman" w:hAnsi="Helvetica Neue" w:cs="Times New Roman"/>
          <w:color w:val="000000" w:themeColor="text1"/>
        </w:rPr>
        <w:t xml:space="preserve">had 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entered on the Portal and were </w:t>
      </w:r>
      <w:r w:rsidR="000836A7">
        <w:rPr>
          <w:rFonts w:ascii="Helvetica Neue" w:eastAsia="Times New Roman" w:hAnsi="Helvetica Neue" w:cs="Times New Roman"/>
          <w:color w:val="000000" w:themeColor="text1"/>
        </w:rPr>
        <w:t xml:space="preserve">very 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>inaccurate (see attachment titled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 xml:space="preserve"> “Form 471 CAT1 191001742 Escuela Popular FY2019 CERTIFIED”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). As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a result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, Escuela Popular’s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received only a 20% discount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when in fact they are eligible for a 90% discount.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 </w:t>
      </w:r>
      <w:r w:rsidR="000836A7">
        <w:rPr>
          <w:rFonts w:ascii="Helvetica Neue" w:eastAsia="Times New Roman" w:hAnsi="Helvetica Neue" w:cs="Times New Roman"/>
          <w:color w:val="000000" w:themeColor="text1"/>
        </w:rPr>
        <w:t>We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 received the Funding Commitment Decision Letter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 xml:space="preserve">on April 27, 2019 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>(see attachment titled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 xml:space="preserve"> “FCDL CAT1 191001742 Escuela Popular FY2019”</w:t>
      </w:r>
      <w:proofErr w:type="gramStart"/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)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, </w:t>
      </w:r>
      <w:r w:rsidR="000836A7">
        <w:rPr>
          <w:rFonts w:ascii="Helvetica Neue" w:eastAsia="Times New Roman" w:hAnsi="Helvetica Neue" w:cs="Times New Roman"/>
          <w:color w:val="000000" w:themeColor="text1"/>
        </w:rPr>
        <w:t>but</w:t>
      </w:r>
      <w:proofErr w:type="gramEnd"/>
      <w:r w:rsidR="000836A7">
        <w:rPr>
          <w:rFonts w:ascii="Helvetica Neue" w:eastAsia="Times New Roman" w:hAnsi="Helvetica Neue" w:cs="Times New Roman"/>
          <w:color w:val="000000" w:themeColor="text1"/>
        </w:rPr>
        <w:t xml:space="preserve"> 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did not realize that this mistake had been made until after the 60-day </w:t>
      </w:r>
      <w:r w:rsidR="000836A7">
        <w:rPr>
          <w:rFonts w:ascii="Helvetica Neue" w:eastAsia="Times New Roman" w:hAnsi="Helvetica Neue" w:cs="Times New Roman"/>
          <w:color w:val="000000" w:themeColor="text1"/>
        </w:rPr>
        <w:t>window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 had passed to file an appeal to USAC.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We had thought this was a lost cause, but d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>uring the E-Rate Applicant and Service Provider Training held in San Marcos, CA on October 31-November 1, 2019, USAC staff suggested that we submit an appeal to the FCC.</w:t>
      </w:r>
    </w:p>
    <w:p w14:paraId="6BDC18C9" w14:textId="75AFBC52" w:rsidR="004B386D" w:rsidRPr="00F002B6" w:rsidRDefault="004B386D">
      <w:pPr>
        <w:rPr>
          <w:rFonts w:ascii="Helvetica Neue" w:eastAsia="Times New Roman" w:hAnsi="Helvetica Neue" w:cs="Times New Roman"/>
          <w:color w:val="000000" w:themeColor="text1"/>
        </w:rPr>
      </w:pPr>
    </w:p>
    <w:p w14:paraId="71D885CE" w14:textId="0F98F34B" w:rsidR="004B386D" w:rsidRPr="00F002B6" w:rsidRDefault="004B386D">
      <w:pPr>
        <w:rPr>
          <w:rFonts w:ascii="Helvetica Neue" w:eastAsia="Times New Roman" w:hAnsi="Helvetica Neue" w:cs="Times New Roman"/>
          <w:color w:val="000000" w:themeColor="text1"/>
        </w:rPr>
      </w:pPr>
      <w:r w:rsidRPr="00F002B6">
        <w:rPr>
          <w:rFonts w:ascii="Helvetica Neue" w:eastAsia="Times New Roman" w:hAnsi="Helvetica Neue" w:cs="Times New Roman"/>
          <w:b/>
          <w:bCs/>
          <w:color w:val="000000" w:themeColor="text1"/>
        </w:rPr>
        <w:lastRenderedPageBreak/>
        <w:t>Relief Sought Through Appeal: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 A waiver for USAC’s 60-day review deadline so that we can correct Escuela Popular’s FY2019 discount percentage</w:t>
      </w:r>
      <w:r w:rsidR="008A5D81" w:rsidRPr="00F002B6">
        <w:rPr>
          <w:rFonts w:ascii="Helvetica Neue" w:eastAsia="Times New Roman" w:hAnsi="Helvetica Neue" w:cs="Times New Roman"/>
          <w:color w:val="000000" w:themeColor="text1"/>
        </w:rPr>
        <w:t xml:space="preserve"> and they can receive the correct reimbursement amount.</w:t>
      </w:r>
    </w:p>
    <w:p w14:paraId="778457A5" w14:textId="2B235E49" w:rsidR="004B386D" w:rsidRPr="00F002B6" w:rsidRDefault="004B386D">
      <w:pPr>
        <w:rPr>
          <w:rFonts w:ascii="Helvetica Neue" w:eastAsia="Times New Roman" w:hAnsi="Helvetica Neue" w:cs="Times New Roman"/>
          <w:color w:val="000000" w:themeColor="text1"/>
        </w:rPr>
      </w:pPr>
    </w:p>
    <w:p w14:paraId="06E4EE6A" w14:textId="17B65619" w:rsidR="004B386D" w:rsidRPr="00F002B6" w:rsidRDefault="004B386D">
      <w:pPr>
        <w:rPr>
          <w:rFonts w:ascii="Helvetica Neue" w:eastAsia="Times New Roman" w:hAnsi="Helvetica Neue" w:cs="Times New Roman"/>
          <w:b/>
          <w:bCs/>
          <w:color w:val="000000" w:themeColor="text1"/>
        </w:rPr>
      </w:pPr>
      <w:r w:rsidRPr="00F002B6">
        <w:rPr>
          <w:rFonts w:ascii="Helvetica Neue" w:eastAsia="Times New Roman" w:hAnsi="Helvetica Neue" w:cs="Times New Roman"/>
          <w:b/>
          <w:bCs/>
          <w:color w:val="000000" w:themeColor="text1"/>
        </w:rPr>
        <w:t>Supporting Documents Attached:</w:t>
      </w:r>
    </w:p>
    <w:p w14:paraId="4911C906" w14:textId="4A59B565" w:rsidR="003B77F6" w:rsidRPr="00F002B6" w:rsidRDefault="003B77F6">
      <w:pPr>
        <w:rPr>
          <w:rFonts w:ascii="Helvetica Neue" w:eastAsia="Times New Roman" w:hAnsi="Helvetica Neue" w:cs="Times New Roman"/>
          <w:color w:val="000000" w:themeColor="text1"/>
        </w:rPr>
      </w:pPr>
    </w:p>
    <w:p w14:paraId="6E90CD7D" w14:textId="25360A3A" w:rsidR="003B77F6" w:rsidRPr="00F002B6" w:rsidRDefault="003B77F6" w:rsidP="003B77F6">
      <w:pPr>
        <w:pStyle w:val="ListParagraph"/>
        <w:numPr>
          <w:ilvl w:val="0"/>
          <w:numId w:val="2"/>
        </w:numPr>
        <w:rPr>
          <w:rFonts w:ascii="Helvetica Neue" w:eastAsia="Times New Roman" w:hAnsi="Helvetica Neue" w:cs="Times New Roman"/>
          <w:color w:val="000000" w:themeColor="text1"/>
        </w:rPr>
      </w:pPr>
      <w:r w:rsidRPr="00F002B6">
        <w:rPr>
          <w:rFonts w:ascii="Helvetica Neue" w:eastAsia="Times New Roman" w:hAnsi="Helvetica Neue" w:cs="Times New Roman"/>
          <w:color w:val="000000" w:themeColor="text1"/>
        </w:rPr>
        <w:t>Escuela USAC Portal Profile_2018-10-09</w:t>
      </w:r>
    </w:p>
    <w:p w14:paraId="25330BA5" w14:textId="00D83017" w:rsidR="003B77F6" w:rsidRPr="00F002B6" w:rsidRDefault="003B77F6" w:rsidP="003B77F6">
      <w:pPr>
        <w:pStyle w:val="ListParagraph"/>
        <w:numPr>
          <w:ilvl w:val="0"/>
          <w:numId w:val="2"/>
        </w:numPr>
        <w:rPr>
          <w:rFonts w:ascii="Helvetica Neue" w:eastAsia="Times New Roman" w:hAnsi="Helvetica Neue" w:cs="Times New Roman"/>
          <w:color w:val="000000" w:themeColor="text1"/>
        </w:rPr>
      </w:pPr>
      <w:r w:rsidRPr="00F002B6">
        <w:rPr>
          <w:rFonts w:ascii="Helvetica Neue" w:eastAsia="Times New Roman" w:hAnsi="Helvetica Neue" w:cs="Times New Roman"/>
          <w:color w:val="000000" w:themeColor="text1"/>
        </w:rPr>
        <w:t>Form 471 CAT1 191001742 Escuela Popular FY2019 CERTIFIED</w:t>
      </w:r>
    </w:p>
    <w:p w14:paraId="00B99A42" w14:textId="6B5F766B" w:rsidR="003B77F6" w:rsidRPr="00F002B6" w:rsidRDefault="003B77F6" w:rsidP="003B77F6">
      <w:pPr>
        <w:pStyle w:val="ListParagraph"/>
        <w:numPr>
          <w:ilvl w:val="0"/>
          <w:numId w:val="2"/>
        </w:numPr>
        <w:rPr>
          <w:rFonts w:ascii="Helvetica Neue" w:eastAsia="Times New Roman" w:hAnsi="Helvetica Neue" w:cs="Times New Roman"/>
          <w:color w:val="000000" w:themeColor="text1"/>
        </w:rPr>
      </w:pPr>
      <w:r w:rsidRPr="00F002B6">
        <w:rPr>
          <w:rFonts w:ascii="Helvetica Neue" w:eastAsia="Times New Roman" w:hAnsi="Helvetica Neue" w:cs="Times New Roman"/>
          <w:color w:val="000000" w:themeColor="text1"/>
        </w:rPr>
        <w:t>FCDL CAT1 191001742 Escuela Popular FY2019</w:t>
      </w:r>
    </w:p>
    <w:p w14:paraId="459316D5" w14:textId="61F03D20" w:rsidR="004B386D" w:rsidRPr="00F002B6" w:rsidRDefault="004B386D">
      <w:pPr>
        <w:rPr>
          <w:rFonts w:ascii="Helvetica Neue" w:eastAsia="Times New Roman" w:hAnsi="Helvetica Neue" w:cs="Arial"/>
          <w:color w:val="000000" w:themeColor="text1"/>
        </w:rPr>
      </w:pPr>
    </w:p>
    <w:p w14:paraId="549C0D30" w14:textId="014EC1B3" w:rsidR="00F002B6" w:rsidRDefault="00EB29BA" w:rsidP="00EB29BA">
      <w:pPr>
        <w:rPr>
          <w:rFonts w:ascii="Helvetica Neue" w:eastAsia="Times New Roman" w:hAnsi="Helvetica Neue" w:cs="Arial"/>
          <w:color w:val="000000" w:themeColor="text1"/>
        </w:rPr>
      </w:pPr>
      <w:r w:rsidRPr="00F002B6">
        <w:rPr>
          <w:rFonts w:ascii="Helvetica Neue" w:eastAsia="Times New Roman" w:hAnsi="Helvetica Neue" w:cs="Arial"/>
          <w:b/>
          <w:bCs/>
          <w:i/>
          <w:iCs/>
          <w:color w:val="000000" w:themeColor="text1"/>
        </w:rPr>
        <w:t>Important Note:</w:t>
      </w:r>
      <w:r w:rsidRPr="00F002B6">
        <w:rPr>
          <w:rFonts w:ascii="Helvetica Neue" w:eastAsia="Times New Roman" w:hAnsi="Helvetica Neue" w:cs="Arial"/>
          <w:color w:val="000000" w:themeColor="text1"/>
        </w:rPr>
        <w:t xml:space="preserve"> HWC Consultants, LLC was doing business </w:t>
      </w:r>
      <w:r w:rsidRPr="00F002B6">
        <w:rPr>
          <w:rFonts w:ascii="Helvetica Neue" w:eastAsia="Times New Roman" w:hAnsi="Helvetica Neue" w:cs="Arial"/>
          <w:color w:val="000000" w:themeColor="text1"/>
        </w:rPr>
        <w:t>last year</w:t>
      </w:r>
      <w:r w:rsidRPr="00F002B6">
        <w:rPr>
          <w:rFonts w:ascii="Helvetica Neue" w:eastAsia="Times New Roman" w:hAnsi="Helvetica Neue" w:cs="Arial"/>
          <w:color w:val="000000" w:themeColor="text1"/>
        </w:rPr>
        <w:t xml:space="preserve"> as Schooley Mitchell. This year we officially </w:t>
      </w:r>
      <w:r w:rsidR="00F002B6" w:rsidRPr="00F002B6">
        <w:rPr>
          <w:rFonts w:ascii="Helvetica Neue" w:eastAsia="Times New Roman" w:hAnsi="Helvetica Neue" w:cs="Arial"/>
          <w:color w:val="000000" w:themeColor="text1"/>
        </w:rPr>
        <w:t>began operating</w:t>
      </w:r>
      <w:r w:rsidRPr="00F002B6">
        <w:rPr>
          <w:rFonts w:ascii="Helvetica Neue" w:eastAsia="Times New Roman" w:hAnsi="Helvetica Neue" w:cs="Arial"/>
          <w:color w:val="000000" w:themeColor="text1"/>
        </w:rPr>
        <w:t xml:space="preserve"> </w:t>
      </w:r>
      <w:r w:rsidR="00F002B6" w:rsidRPr="00F002B6">
        <w:rPr>
          <w:rFonts w:ascii="Helvetica Neue" w:eastAsia="Times New Roman" w:hAnsi="Helvetica Neue" w:cs="Arial"/>
          <w:color w:val="000000" w:themeColor="text1"/>
        </w:rPr>
        <w:t>as</w:t>
      </w:r>
      <w:r w:rsidRPr="00F002B6">
        <w:rPr>
          <w:rFonts w:ascii="Helvetica Neue" w:eastAsia="Times New Roman" w:hAnsi="Helvetica Neue" w:cs="Arial"/>
          <w:color w:val="000000" w:themeColor="text1"/>
        </w:rPr>
        <w:t xml:space="preserve"> HWC Consultants, LLC. All filings for FY2019-2020 for Escuela Popular, and therefore all supporting documentation attached, were</w:t>
      </w:r>
      <w:r w:rsidR="000836A7">
        <w:rPr>
          <w:rFonts w:ascii="Helvetica Neue" w:eastAsia="Times New Roman" w:hAnsi="Helvetica Neue" w:cs="Arial"/>
          <w:color w:val="000000" w:themeColor="text1"/>
        </w:rPr>
        <w:t xml:space="preserve"> formerly</w:t>
      </w:r>
      <w:r w:rsidRPr="00F002B6">
        <w:rPr>
          <w:rFonts w:ascii="Helvetica Neue" w:eastAsia="Times New Roman" w:hAnsi="Helvetica Neue" w:cs="Arial"/>
          <w:color w:val="000000" w:themeColor="text1"/>
        </w:rPr>
        <w:t xml:space="preserve"> attached to:</w:t>
      </w:r>
    </w:p>
    <w:p w14:paraId="40BF195F" w14:textId="77777777" w:rsidR="00F002B6" w:rsidRDefault="00F002B6" w:rsidP="00EB29BA">
      <w:pPr>
        <w:rPr>
          <w:rFonts w:ascii="Helvetica Neue" w:eastAsia="Times New Roman" w:hAnsi="Helvetica Neue" w:cs="Arial"/>
          <w:color w:val="000000" w:themeColor="text1"/>
        </w:rPr>
      </w:pPr>
    </w:p>
    <w:p w14:paraId="11D54C27" w14:textId="01B2BB11" w:rsidR="00EB29BA" w:rsidRPr="00F002B6" w:rsidRDefault="00EB29BA" w:rsidP="00EB29BA">
      <w:pPr>
        <w:rPr>
          <w:rFonts w:ascii="Helvetica Neue" w:eastAsia="Times New Roman" w:hAnsi="Helvetica Neue" w:cs="Arial"/>
          <w:color w:val="000000" w:themeColor="text1"/>
        </w:rPr>
      </w:pPr>
      <w:r w:rsidRPr="00F002B6">
        <w:rPr>
          <w:rFonts w:ascii="Helvetica Neue" w:eastAsia="Times New Roman" w:hAnsi="Helvetica Neue" w:cs="Arial"/>
          <w:color w:val="000000" w:themeColor="text1"/>
        </w:rPr>
        <w:t>Schooley Mitchell</w:t>
      </w:r>
    </w:p>
    <w:p w14:paraId="25BA4DC3" w14:textId="6E3B4BBC" w:rsidR="00EB29BA" w:rsidRPr="00F002B6" w:rsidRDefault="00EB29BA" w:rsidP="00EB29BA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eastAsia="Times New Roman" w:hAnsi="Helvetica Neue" w:cs="Arial"/>
          <w:color w:val="000000" w:themeColor="text1"/>
        </w:rPr>
        <w:t xml:space="preserve">CRN: </w:t>
      </w:r>
      <w:r w:rsidRPr="00F002B6">
        <w:rPr>
          <w:rFonts w:ascii="Helvetica Neue" w:hAnsi="Helvetica Neue"/>
          <w:color w:val="000000" w:themeColor="text1"/>
        </w:rPr>
        <w:t xml:space="preserve">16062646 </w:t>
      </w:r>
    </w:p>
    <w:p w14:paraId="73D56EFB" w14:textId="5E0F8932" w:rsidR="00EB29BA" w:rsidRPr="00F002B6" w:rsidRDefault="00EB29BA" w:rsidP="00EB29BA">
      <w:pPr>
        <w:rPr>
          <w:rFonts w:ascii="Helvetica Neue" w:hAnsi="Helvetica Neue"/>
          <w:color w:val="000000" w:themeColor="text1"/>
        </w:rPr>
      </w:pPr>
    </w:p>
    <w:p w14:paraId="150F204E" w14:textId="0A09107B" w:rsidR="00EB29BA" w:rsidRPr="00F002B6" w:rsidRDefault="00F002B6" w:rsidP="00EB29BA">
      <w:pPr>
        <w:rPr>
          <w:rFonts w:ascii="Helvetica Neue" w:eastAsia="Times New Roman" w:hAnsi="Helvetica Neue" w:cs="Arial"/>
          <w:color w:val="000000" w:themeColor="text1"/>
        </w:rPr>
      </w:pPr>
      <w:r w:rsidRPr="00F002B6">
        <w:rPr>
          <w:rFonts w:ascii="Helvetica Neue" w:eastAsia="Times New Roman" w:hAnsi="Helvetica Neue" w:cs="Arial"/>
          <w:color w:val="000000" w:themeColor="text1"/>
        </w:rPr>
        <w:t xml:space="preserve">Please direct all communication regarding this appeal to the contact information stated </w:t>
      </w:r>
      <w:r w:rsidR="000836A7">
        <w:rPr>
          <w:rFonts w:ascii="Helvetica Neue" w:eastAsia="Times New Roman" w:hAnsi="Helvetica Neue" w:cs="Arial"/>
          <w:color w:val="000000" w:themeColor="text1"/>
        </w:rPr>
        <w:t>below</w:t>
      </w:r>
      <w:bookmarkStart w:id="0" w:name="_GoBack"/>
      <w:bookmarkEnd w:id="0"/>
      <w:r w:rsidRPr="00F002B6">
        <w:rPr>
          <w:rFonts w:ascii="Helvetica Neue" w:eastAsia="Times New Roman" w:hAnsi="Helvetica Neue" w:cs="Arial"/>
          <w:color w:val="000000" w:themeColor="text1"/>
        </w:rPr>
        <w:t xml:space="preserve"> for Michela Lowry.</w:t>
      </w:r>
    </w:p>
    <w:p w14:paraId="7C6A0B1E" w14:textId="7E3D3311" w:rsidR="00EB29BA" w:rsidRDefault="00EB29BA">
      <w:pPr>
        <w:rPr>
          <w:rFonts w:ascii="Helvetica Neue" w:hAnsi="Helvetica Neue"/>
          <w:color w:val="000000" w:themeColor="text1"/>
        </w:rPr>
      </w:pPr>
    </w:p>
    <w:p w14:paraId="0CDD170E" w14:textId="52CE7FF3" w:rsidR="00F002B6" w:rsidRDefault="00F002B6">
      <w:pPr>
        <w:rPr>
          <w:rFonts w:ascii="Helvetica Neue" w:hAnsi="Helvetica Neue"/>
          <w:color w:val="000000" w:themeColor="text1"/>
        </w:rPr>
      </w:pPr>
      <w:r>
        <w:rPr>
          <w:rFonts w:ascii="Helvetica Neue" w:hAnsi="Helvetica Neue"/>
          <w:color w:val="000000" w:themeColor="text1"/>
        </w:rPr>
        <w:t>Thank you in advance,</w:t>
      </w:r>
    </w:p>
    <w:p w14:paraId="570F671E" w14:textId="0A4C4EE9" w:rsidR="00F002B6" w:rsidRDefault="00F002B6">
      <w:pPr>
        <w:rPr>
          <w:rFonts w:ascii="Helvetica Neue" w:hAnsi="Helvetica Neue"/>
          <w:color w:val="000000" w:themeColor="text1"/>
        </w:rPr>
      </w:pPr>
    </w:p>
    <w:p w14:paraId="2C7BFE3D" w14:textId="0AD3D7CF" w:rsidR="00F002B6" w:rsidRDefault="00F002B6">
      <w:pPr>
        <w:rPr>
          <w:rFonts w:ascii="Helvetica Neue" w:hAnsi="Helvetica Neue"/>
          <w:color w:val="000000" w:themeColor="text1"/>
        </w:rPr>
      </w:pPr>
      <w:r>
        <w:rPr>
          <w:rFonts w:ascii="Helvetica Neue" w:hAnsi="Helvetica Neue"/>
          <w:color w:val="000000" w:themeColor="text1"/>
        </w:rPr>
        <w:t>Michela Lowry</w:t>
      </w:r>
    </w:p>
    <w:p w14:paraId="4672E501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Director of Operations</w:t>
      </w:r>
    </w:p>
    <w:p w14:paraId="40C8206B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HWC Consultants, LLC</w:t>
      </w:r>
    </w:p>
    <w:p w14:paraId="58908688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739 Shrader St., San Francisco, CA 94117</w:t>
      </w:r>
    </w:p>
    <w:p w14:paraId="3B85EB32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646.342.4952 (c)</w:t>
      </w:r>
    </w:p>
    <w:p w14:paraId="1B9CA433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hyperlink r:id="rId6" w:history="1">
        <w:r w:rsidRPr="00F002B6">
          <w:rPr>
            <w:rStyle w:val="Hyperlink"/>
            <w:rFonts w:ascii="Helvetica Neue" w:hAnsi="Helvetica Neue"/>
            <w:color w:val="000000" w:themeColor="text1"/>
          </w:rPr>
          <w:t>michela@hwc-consultants.com</w:t>
        </w:r>
      </w:hyperlink>
    </w:p>
    <w:p w14:paraId="6353F37E" w14:textId="77777777" w:rsidR="000836A7" w:rsidRPr="00F002B6" w:rsidRDefault="000836A7" w:rsidP="000836A7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Consultant Registration Number: 17018905</w:t>
      </w:r>
    </w:p>
    <w:p w14:paraId="7C0AD3F9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</w:p>
    <w:sectPr w:rsidR="000836A7" w:rsidRPr="00F002B6" w:rsidSect="00F26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44B5C"/>
    <w:multiLevelType w:val="multilevel"/>
    <w:tmpl w:val="A0E2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7468AB"/>
    <w:multiLevelType w:val="hybridMultilevel"/>
    <w:tmpl w:val="8FB23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6D"/>
    <w:rsid w:val="000836A7"/>
    <w:rsid w:val="003B77F6"/>
    <w:rsid w:val="004B386D"/>
    <w:rsid w:val="008675B1"/>
    <w:rsid w:val="008A5D81"/>
    <w:rsid w:val="00EB29BA"/>
    <w:rsid w:val="00F002B6"/>
    <w:rsid w:val="00F2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549995"/>
  <w15:chartTrackingRefBased/>
  <w15:docId w15:val="{82E027F4-4143-BB4E-861D-CA4EDFEE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29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29B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B29B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B7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4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2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ela@hwc-consultants.com" TargetMode="External"/><Relationship Id="rId5" Type="http://schemas.openxmlformats.org/officeDocument/2006/relationships/hyperlink" Target="mailto:michela@hwc-consultant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lowry</dc:creator>
  <cp:keywords/>
  <dc:description/>
  <cp:lastModifiedBy>michela lowry</cp:lastModifiedBy>
  <cp:revision>3</cp:revision>
  <dcterms:created xsi:type="dcterms:W3CDTF">2019-11-08T00:30:00Z</dcterms:created>
  <dcterms:modified xsi:type="dcterms:W3CDTF">2019-11-08T01:07:00Z</dcterms:modified>
</cp:coreProperties>
</file>