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C70C91" w14:textId="77777777" w:rsidR="00EB0760" w:rsidRDefault="00EB0760"/>
    <w:p w14:paraId="2539E67A" w14:textId="77777777" w:rsidR="002C55CE" w:rsidRDefault="002C55CE"/>
    <w:p w14:paraId="394B9AF5" w14:textId="491B6FFE" w:rsidR="002C55CE" w:rsidRDefault="002C55CE" w:rsidP="002C55CE">
      <w:pPr>
        <w:autoSpaceDE w:val="0"/>
        <w:autoSpaceDN w:val="0"/>
        <w:adjustRightInd w:val="0"/>
        <w:spacing w:line="360" w:lineRule="auto"/>
        <w:rPr>
          <w:rFonts w:ascii="TimesNewRomanPSMT" w:hAnsi="TimesNewRomanPSMT" w:cs="TimesNewRomanPSMT"/>
          <w:sz w:val="22"/>
          <w:szCs w:val="22"/>
        </w:rPr>
      </w:pPr>
      <w:r w:rsidRPr="002C55CE">
        <w:rPr>
          <w:rFonts w:ascii="Tahoma" w:hAnsi="Tahoma" w:cs="Tahoma"/>
          <w:sz w:val="22"/>
          <w:szCs w:val="22"/>
        </w:rPr>
        <w:t>Plains Internet</w:t>
      </w:r>
      <w:r>
        <w:rPr>
          <w:rFonts w:ascii="Tahoma" w:hAnsi="Tahoma" w:cs="Tahoma"/>
          <w:sz w:val="22"/>
          <w:szCs w:val="22"/>
        </w:rPr>
        <w:t>, LLC (“Plains Internet”)</w:t>
      </w:r>
      <w:r w:rsidR="001B67BB">
        <w:rPr>
          <w:rFonts w:ascii="Tahoma" w:hAnsi="Tahoma" w:cs="Tahoma"/>
          <w:sz w:val="22"/>
          <w:szCs w:val="22"/>
        </w:rPr>
        <w:t xml:space="preserve"> as a CAF II support recipient,</w:t>
      </w:r>
      <w:r w:rsidRPr="002C55CE">
        <w:rPr>
          <w:rFonts w:ascii="Tahoma" w:hAnsi="Tahoma" w:cs="Tahoma"/>
          <w:sz w:val="22"/>
          <w:szCs w:val="22"/>
        </w:rPr>
        <w:t xml:space="preserve"> is seeking FCC designation as an Eligible Telecommunications Carrier (“ETC”) to serve </w:t>
      </w:r>
      <w:r w:rsidR="00160562">
        <w:rPr>
          <w:rFonts w:ascii="Tahoma" w:hAnsi="Tahoma" w:cs="Tahoma"/>
          <w:sz w:val="22"/>
          <w:szCs w:val="22"/>
        </w:rPr>
        <w:t>the census blocks shown in exhibit A</w:t>
      </w:r>
      <w:r w:rsidRPr="002C55CE">
        <w:rPr>
          <w:rFonts w:ascii="Tahoma" w:hAnsi="Tahoma" w:cs="Tahoma"/>
          <w:sz w:val="22"/>
          <w:szCs w:val="22"/>
        </w:rPr>
        <w:t xml:space="preserve"> </w:t>
      </w:r>
      <w:r>
        <w:rPr>
          <w:rFonts w:ascii="Tahoma" w:hAnsi="Tahoma" w:cs="Tahoma"/>
          <w:sz w:val="22"/>
          <w:szCs w:val="22"/>
        </w:rPr>
        <w:t>in the state of</w:t>
      </w:r>
      <w:r w:rsidRPr="002C55CE">
        <w:rPr>
          <w:rFonts w:ascii="Tahoma" w:hAnsi="Tahoma" w:cs="Tahoma"/>
          <w:sz w:val="22"/>
          <w:szCs w:val="22"/>
        </w:rPr>
        <w:t xml:space="preserve"> Texas.  We are submitting documentation from the Public Utility Commission of Texas indicating that the state lacks authority to designate Eligible Telecommunications Carriers</w:t>
      </w:r>
      <w:r>
        <w:rPr>
          <w:rFonts w:ascii="TimesNewRomanPSMT" w:hAnsi="TimesNewRomanPSMT" w:cs="TimesNewRomanPSMT"/>
          <w:sz w:val="22"/>
          <w:szCs w:val="22"/>
        </w:rPr>
        <w:t xml:space="preserve">. </w:t>
      </w:r>
    </w:p>
    <w:p w14:paraId="0D073D1D" w14:textId="45AF80C9" w:rsidR="00E66402" w:rsidRPr="00B018AB" w:rsidRDefault="00E66402" w:rsidP="00B018AB">
      <w:pPr>
        <w:pStyle w:val="ListParagraph"/>
        <w:numPr>
          <w:ilvl w:val="0"/>
          <w:numId w:val="1"/>
        </w:numPr>
        <w:autoSpaceDE w:val="0"/>
        <w:autoSpaceDN w:val="0"/>
        <w:adjustRightInd w:val="0"/>
        <w:rPr>
          <w:rFonts w:ascii="TimesNewRomanPS-BoldMT" w:hAnsi="TimesNewRomanPS-BoldMT" w:cs="TimesNewRomanPS-BoldMT"/>
          <w:b/>
          <w:bCs/>
          <w:color w:val="000000"/>
        </w:rPr>
      </w:pPr>
      <w:r w:rsidRPr="00B018AB">
        <w:rPr>
          <w:rFonts w:ascii="TimesNewRomanPS-BoldMT" w:hAnsi="TimesNewRomanPS-BoldMT" w:cs="TimesNewRomanPS-BoldMT"/>
          <w:b/>
          <w:bCs/>
          <w:color w:val="000000"/>
        </w:rPr>
        <w:t>INTRODUCTION &amp; SUMMARY</w:t>
      </w:r>
    </w:p>
    <w:p w14:paraId="5D41F060" w14:textId="77777777" w:rsidR="00B018AB" w:rsidRPr="00B018AB" w:rsidRDefault="00B018AB" w:rsidP="00B018AB">
      <w:pPr>
        <w:pStyle w:val="ListParagraph"/>
        <w:autoSpaceDE w:val="0"/>
        <w:autoSpaceDN w:val="0"/>
        <w:adjustRightInd w:val="0"/>
        <w:ind w:left="1080"/>
        <w:rPr>
          <w:rFonts w:ascii="TimesNewRomanPS-BoldMT" w:hAnsi="TimesNewRomanPS-BoldMT" w:cs="TimesNewRomanPS-BoldMT"/>
          <w:b/>
          <w:bCs/>
          <w:color w:val="000000"/>
        </w:rPr>
      </w:pPr>
    </w:p>
    <w:p w14:paraId="545F73C8" w14:textId="592B6419" w:rsidR="00E66402" w:rsidRDefault="00E66402" w:rsidP="00B018AB">
      <w:pPr>
        <w:autoSpaceDE w:val="0"/>
        <w:autoSpaceDN w:val="0"/>
        <w:adjustRightInd w:val="0"/>
        <w:spacing w:line="360" w:lineRule="auto"/>
        <w:rPr>
          <w:rFonts w:ascii="Tahoma" w:hAnsi="Tahoma" w:cs="Tahoma"/>
          <w:color w:val="000000"/>
          <w:sz w:val="22"/>
          <w:szCs w:val="22"/>
        </w:rPr>
      </w:pPr>
      <w:r w:rsidRPr="00B018AB">
        <w:rPr>
          <w:rFonts w:ascii="Tahoma" w:hAnsi="Tahoma" w:cs="Tahoma"/>
          <w:color w:val="000000"/>
          <w:sz w:val="22"/>
          <w:szCs w:val="22"/>
        </w:rPr>
        <w:t>Plains Internet, LLC</w:t>
      </w:r>
      <w:r w:rsidR="00594EC1">
        <w:rPr>
          <w:rFonts w:ascii="Tahoma" w:hAnsi="Tahoma" w:cs="Tahoma"/>
          <w:color w:val="000000"/>
          <w:sz w:val="22"/>
          <w:szCs w:val="22"/>
        </w:rPr>
        <w:t xml:space="preserve"> (“Plains Internet”)</w:t>
      </w:r>
      <w:r w:rsidRPr="00B018AB">
        <w:rPr>
          <w:rFonts w:ascii="Tahoma" w:hAnsi="Tahoma" w:cs="Tahoma"/>
          <w:color w:val="000000"/>
          <w:sz w:val="22"/>
          <w:szCs w:val="22"/>
        </w:rPr>
        <w:t xml:space="preserve"> is a facilities-based telecommunications carrier </w:t>
      </w:r>
      <w:r w:rsidR="001E5BE7">
        <w:rPr>
          <w:rFonts w:ascii="Tahoma" w:hAnsi="Tahoma" w:cs="Tahoma"/>
          <w:color w:val="000000"/>
          <w:sz w:val="22"/>
          <w:szCs w:val="22"/>
        </w:rPr>
        <w:t xml:space="preserve"> located at 7519 Canyon Drive, Amarillo, TX 79110, that has been awarded CAFII support and seeks</w:t>
      </w:r>
      <w:r w:rsidRPr="00B018AB">
        <w:rPr>
          <w:rFonts w:ascii="Tahoma" w:hAnsi="Tahoma" w:cs="Tahoma"/>
          <w:color w:val="000000"/>
          <w:sz w:val="22"/>
          <w:szCs w:val="22"/>
        </w:rPr>
        <w:t xml:space="preserve"> designations as an Eligible Telecommunications Carrier in Texas</w:t>
      </w:r>
      <w:r w:rsidR="001E5BE7">
        <w:rPr>
          <w:rFonts w:ascii="Tahoma" w:hAnsi="Tahoma" w:cs="Tahoma"/>
          <w:color w:val="000000"/>
          <w:sz w:val="22"/>
          <w:szCs w:val="22"/>
        </w:rPr>
        <w:t>.</w:t>
      </w:r>
      <w:r w:rsidRPr="00B018AB">
        <w:rPr>
          <w:rFonts w:ascii="Tahoma" w:hAnsi="Tahoma" w:cs="Tahoma"/>
          <w:color w:val="000000"/>
          <w:sz w:val="22"/>
          <w:szCs w:val="22"/>
        </w:rPr>
        <w:t xml:space="preserve"> The requested ETC designation will promote the</w:t>
      </w:r>
      <w:r w:rsidR="00B018AB" w:rsidRPr="00B018AB">
        <w:rPr>
          <w:rFonts w:ascii="Tahoma" w:hAnsi="Tahoma" w:cs="Tahoma"/>
          <w:color w:val="000000"/>
          <w:sz w:val="22"/>
          <w:szCs w:val="22"/>
        </w:rPr>
        <w:t xml:space="preserve"> </w:t>
      </w:r>
      <w:r w:rsidRPr="00B018AB">
        <w:rPr>
          <w:rFonts w:ascii="Tahoma" w:hAnsi="Tahoma" w:cs="Tahoma"/>
          <w:color w:val="000000"/>
          <w:sz w:val="22"/>
          <w:szCs w:val="22"/>
        </w:rPr>
        <w:t xml:space="preserve">public interest by providing </w:t>
      </w:r>
      <w:r w:rsidR="00B018AB" w:rsidRPr="00B018AB">
        <w:rPr>
          <w:rFonts w:ascii="Tahoma" w:hAnsi="Tahoma" w:cs="Tahoma"/>
          <w:color w:val="000000"/>
          <w:sz w:val="22"/>
          <w:szCs w:val="22"/>
        </w:rPr>
        <w:t>underserved</w:t>
      </w:r>
      <w:r w:rsidRPr="00B018AB">
        <w:rPr>
          <w:rFonts w:ascii="Tahoma" w:hAnsi="Tahoma" w:cs="Tahoma"/>
          <w:color w:val="000000"/>
          <w:sz w:val="22"/>
          <w:szCs w:val="22"/>
        </w:rPr>
        <w:t xml:space="preserve"> consumers a choice of a significant new</w:t>
      </w:r>
      <w:r w:rsidR="00B018AB" w:rsidRPr="00B018AB">
        <w:rPr>
          <w:rFonts w:ascii="Tahoma" w:hAnsi="Tahoma" w:cs="Tahoma"/>
          <w:color w:val="000000"/>
          <w:sz w:val="22"/>
          <w:szCs w:val="22"/>
        </w:rPr>
        <w:t xml:space="preserve"> </w:t>
      </w:r>
      <w:r w:rsidRPr="00B018AB">
        <w:rPr>
          <w:rFonts w:ascii="Tahoma" w:hAnsi="Tahoma" w:cs="Tahoma"/>
          <w:color w:val="000000"/>
          <w:sz w:val="22"/>
          <w:szCs w:val="22"/>
        </w:rPr>
        <w:t>facilities-based competitor in the marketplace</w:t>
      </w:r>
      <w:r w:rsidR="00B018AB" w:rsidRPr="00B018AB">
        <w:rPr>
          <w:rFonts w:ascii="Tahoma" w:hAnsi="Tahoma" w:cs="Tahoma"/>
          <w:color w:val="000000"/>
          <w:sz w:val="22"/>
          <w:szCs w:val="22"/>
        </w:rPr>
        <w:t>.</w:t>
      </w:r>
      <w:r w:rsidRPr="00B018AB">
        <w:rPr>
          <w:rFonts w:ascii="Tahoma" w:hAnsi="Tahoma" w:cs="Tahoma"/>
          <w:color w:val="000000"/>
          <w:sz w:val="22"/>
          <w:szCs w:val="22"/>
        </w:rPr>
        <w:t xml:space="preserve"> Plains Internet's entry into</w:t>
      </w:r>
      <w:r w:rsidR="00B018AB" w:rsidRPr="00B018AB">
        <w:rPr>
          <w:rFonts w:ascii="Tahoma" w:hAnsi="Tahoma" w:cs="Tahoma"/>
          <w:color w:val="000000"/>
          <w:sz w:val="22"/>
          <w:szCs w:val="22"/>
        </w:rPr>
        <w:t xml:space="preserve"> the </w:t>
      </w:r>
      <w:r w:rsidRPr="00B018AB">
        <w:rPr>
          <w:rFonts w:ascii="Tahoma" w:hAnsi="Tahoma" w:cs="Tahoma"/>
          <w:color w:val="000000"/>
          <w:sz w:val="22"/>
          <w:szCs w:val="22"/>
        </w:rPr>
        <w:t>market will create competitive pressure on all providers, resulting in a</w:t>
      </w:r>
      <w:r w:rsidR="00B018AB" w:rsidRPr="00B018AB">
        <w:rPr>
          <w:rFonts w:ascii="Tahoma" w:hAnsi="Tahoma" w:cs="Tahoma"/>
          <w:color w:val="000000"/>
          <w:sz w:val="22"/>
          <w:szCs w:val="22"/>
        </w:rPr>
        <w:t xml:space="preserve"> </w:t>
      </w:r>
      <w:r w:rsidRPr="00B018AB">
        <w:rPr>
          <w:rFonts w:ascii="Tahoma" w:hAnsi="Tahoma" w:cs="Tahoma"/>
          <w:color w:val="000000"/>
          <w:sz w:val="22"/>
          <w:szCs w:val="22"/>
        </w:rPr>
        <w:t xml:space="preserve">higher level of service quality and more competitive pricing and advantageous service options for </w:t>
      </w:r>
      <w:r w:rsidR="00B018AB" w:rsidRPr="00B018AB">
        <w:rPr>
          <w:rFonts w:ascii="Tahoma" w:hAnsi="Tahoma" w:cs="Tahoma"/>
          <w:color w:val="000000"/>
          <w:sz w:val="22"/>
          <w:szCs w:val="22"/>
        </w:rPr>
        <w:t>underserved</w:t>
      </w:r>
      <w:r w:rsidRPr="00B018AB">
        <w:rPr>
          <w:rFonts w:ascii="Tahoma" w:hAnsi="Tahoma" w:cs="Tahoma"/>
          <w:color w:val="000000"/>
          <w:sz w:val="22"/>
          <w:szCs w:val="22"/>
        </w:rPr>
        <w:t xml:space="preserve"> consumers in Texas. As discussed below, Plains Internet meets</w:t>
      </w:r>
      <w:r w:rsidR="00B018AB" w:rsidRPr="00B018AB">
        <w:rPr>
          <w:rFonts w:ascii="Tahoma" w:hAnsi="Tahoma" w:cs="Tahoma"/>
          <w:color w:val="000000"/>
          <w:sz w:val="22"/>
          <w:szCs w:val="22"/>
        </w:rPr>
        <w:t xml:space="preserve"> </w:t>
      </w:r>
      <w:r w:rsidRPr="00B018AB">
        <w:rPr>
          <w:rFonts w:ascii="Tahoma" w:hAnsi="Tahoma" w:cs="Tahoma"/>
          <w:color w:val="000000"/>
          <w:sz w:val="22"/>
          <w:szCs w:val="22"/>
        </w:rPr>
        <w:t>all statutory and regulatory prerequisites for ETC designation. Furthermore, the public interest</w:t>
      </w:r>
      <w:r w:rsidR="00B018AB">
        <w:rPr>
          <w:rFonts w:ascii="Tahoma" w:hAnsi="Tahoma" w:cs="Tahoma"/>
          <w:color w:val="000000"/>
          <w:sz w:val="22"/>
          <w:szCs w:val="22"/>
        </w:rPr>
        <w:t xml:space="preserve"> </w:t>
      </w:r>
      <w:r w:rsidRPr="00B018AB">
        <w:rPr>
          <w:rFonts w:ascii="Tahoma" w:hAnsi="Tahoma" w:cs="Tahoma"/>
          <w:color w:val="000000"/>
          <w:sz w:val="22"/>
          <w:szCs w:val="22"/>
        </w:rPr>
        <w:t>would be greatly served by granting this petition, enabling Plains Internet to advance service in Texas by serving the basic and advanced communications needs o</w:t>
      </w:r>
      <w:r w:rsidR="00B018AB" w:rsidRPr="00B018AB">
        <w:rPr>
          <w:rFonts w:ascii="Tahoma" w:hAnsi="Tahoma" w:cs="Tahoma"/>
          <w:color w:val="000000"/>
          <w:sz w:val="22"/>
          <w:szCs w:val="22"/>
        </w:rPr>
        <w:t>f underserved</w:t>
      </w:r>
      <w:r w:rsidRPr="00B018AB">
        <w:rPr>
          <w:rFonts w:ascii="Tahoma" w:hAnsi="Tahoma" w:cs="Tahoma"/>
          <w:color w:val="000000"/>
          <w:sz w:val="22"/>
          <w:szCs w:val="22"/>
        </w:rPr>
        <w:t xml:space="preserve"> consumers</w:t>
      </w:r>
      <w:r w:rsidR="00594EC1">
        <w:rPr>
          <w:rFonts w:ascii="Tahoma" w:hAnsi="Tahoma" w:cs="Tahoma"/>
          <w:color w:val="000000"/>
          <w:sz w:val="22"/>
          <w:szCs w:val="22"/>
        </w:rPr>
        <w:t>.</w:t>
      </w:r>
    </w:p>
    <w:p w14:paraId="41BC28E2" w14:textId="767E1295" w:rsidR="00041EA9" w:rsidRPr="00041EA9" w:rsidRDefault="00041EA9" w:rsidP="00041EA9">
      <w:pPr>
        <w:pStyle w:val="ListParagraph"/>
        <w:numPr>
          <w:ilvl w:val="0"/>
          <w:numId w:val="1"/>
        </w:numPr>
        <w:autoSpaceDE w:val="0"/>
        <w:autoSpaceDN w:val="0"/>
        <w:adjustRightInd w:val="0"/>
        <w:rPr>
          <w:rFonts w:ascii="TimesNewRomanPS-BoldMT" w:hAnsi="TimesNewRomanPS-BoldMT" w:cs="TimesNewRomanPS-BoldMT"/>
          <w:b/>
          <w:bCs/>
          <w:color w:val="000000"/>
        </w:rPr>
      </w:pPr>
      <w:r w:rsidRPr="00041EA9">
        <w:rPr>
          <w:rFonts w:ascii="TimesNewRomanPS-BoldMT" w:hAnsi="TimesNewRomanPS-BoldMT" w:cs="TimesNewRomanPS-BoldMT"/>
          <w:b/>
          <w:bCs/>
          <w:color w:val="000000"/>
        </w:rPr>
        <w:t>BACKGROUND</w:t>
      </w:r>
    </w:p>
    <w:p w14:paraId="042E123B" w14:textId="77777777" w:rsidR="00041EA9" w:rsidRPr="00041EA9" w:rsidRDefault="00041EA9" w:rsidP="00041EA9">
      <w:pPr>
        <w:pStyle w:val="ListParagraph"/>
        <w:autoSpaceDE w:val="0"/>
        <w:autoSpaceDN w:val="0"/>
        <w:adjustRightInd w:val="0"/>
        <w:ind w:left="1080"/>
        <w:rPr>
          <w:rFonts w:ascii="TimesNewRomanPS-BoldMT" w:hAnsi="TimesNewRomanPS-BoldMT" w:cs="TimesNewRomanPS-BoldMT"/>
          <w:b/>
          <w:bCs/>
          <w:color w:val="000000"/>
        </w:rPr>
      </w:pPr>
    </w:p>
    <w:p w14:paraId="6A79330D" w14:textId="77777777" w:rsidR="00041EA9" w:rsidRPr="00041EA9" w:rsidRDefault="00041EA9" w:rsidP="00041EA9">
      <w:pPr>
        <w:autoSpaceDE w:val="0"/>
        <w:autoSpaceDN w:val="0"/>
        <w:adjustRightInd w:val="0"/>
        <w:spacing w:line="360" w:lineRule="auto"/>
        <w:rPr>
          <w:rFonts w:ascii="Tahoma" w:hAnsi="Tahoma" w:cs="Tahoma"/>
          <w:color w:val="000000"/>
          <w:sz w:val="22"/>
          <w:szCs w:val="22"/>
        </w:rPr>
      </w:pPr>
      <w:r w:rsidRPr="00041EA9">
        <w:rPr>
          <w:rFonts w:ascii="Tahoma" w:hAnsi="Tahoma" w:cs="Tahoma"/>
          <w:color w:val="000000"/>
          <w:sz w:val="22"/>
          <w:szCs w:val="22"/>
        </w:rPr>
        <w:t>Plains Internet is a facilities-based, regional provider of competitively-priced wireless</w:t>
      </w:r>
    </w:p>
    <w:p w14:paraId="27E4DC29" w14:textId="617AFDC0" w:rsidR="00041EA9" w:rsidRPr="00041EA9" w:rsidRDefault="00041EA9" w:rsidP="00041EA9">
      <w:pPr>
        <w:autoSpaceDE w:val="0"/>
        <w:autoSpaceDN w:val="0"/>
        <w:adjustRightInd w:val="0"/>
        <w:spacing w:line="360" w:lineRule="auto"/>
        <w:rPr>
          <w:rFonts w:ascii="Tahoma" w:hAnsi="Tahoma" w:cs="Tahoma"/>
          <w:color w:val="000000"/>
          <w:sz w:val="22"/>
          <w:szCs w:val="22"/>
        </w:rPr>
      </w:pPr>
      <w:r w:rsidRPr="00041EA9">
        <w:rPr>
          <w:rFonts w:ascii="Tahoma" w:hAnsi="Tahoma" w:cs="Tahoma"/>
          <w:color w:val="000000"/>
          <w:sz w:val="22"/>
          <w:szCs w:val="22"/>
        </w:rPr>
        <w:t xml:space="preserve"> VOIP, and data services</w:t>
      </w:r>
      <w:r>
        <w:rPr>
          <w:rFonts w:ascii="Tahoma" w:hAnsi="Tahoma" w:cs="Tahoma"/>
          <w:color w:val="000000"/>
          <w:sz w:val="22"/>
          <w:szCs w:val="22"/>
        </w:rPr>
        <w:t xml:space="preserve">. Plains Internet </w:t>
      </w:r>
      <w:r w:rsidRPr="00041EA9">
        <w:rPr>
          <w:rFonts w:ascii="Tahoma" w:hAnsi="Tahoma" w:cs="Tahoma"/>
          <w:color w:val="000000"/>
          <w:sz w:val="22"/>
          <w:szCs w:val="22"/>
        </w:rPr>
        <w:t>holds a Common Carrier Radio Operator's license issued by the Federal</w:t>
      </w:r>
      <w:r>
        <w:rPr>
          <w:rFonts w:ascii="Tahoma" w:hAnsi="Tahoma" w:cs="Tahoma"/>
          <w:color w:val="000000"/>
          <w:sz w:val="22"/>
          <w:szCs w:val="22"/>
        </w:rPr>
        <w:t xml:space="preserve"> </w:t>
      </w:r>
      <w:r w:rsidRPr="00041EA9">
        <w:rPr>
          <w:rFonts w:ascii="Tahoma" w:hAnsi="Tahoma" w:cs="Tahoma"/>
          <w:color w:val="000000"/>
          <w:sz w:val="22"/>
          <w:szCs w:val="22"/>
        </w:rPr>
        <w:t xml:space="preserve">Communications Commission, Wireless Technology Bureau. </w:t>
      </w:r>
      <w:r w:rsidR="0087381F" w:rsidRPr="00041EA9">
        <w:rPr>
          <w:rFonts w:ascii="Tahoma" w:hAnsi="Tahoma" w:cs="Tahoma"/>
          <w:color w:val="000000"/>
          <w:sz w:val="22"/>
          <w:szCs w:val="22"/>
        </w:rPr>
        <w:t>Plains</w:t>
      </w:r>
      <w:r w:rsidR="0087381F">
        <w:rPr>
          <w:rFonts w:ascii="Tahoma" w:hAnsi="Tahoma" w:cs="Tahoma"/>
          <w:color w:val="000000"/>
          <w:sz w:val="22"/>
          <w:szCs w:val="22"/>
        </w:rPr>
        <w:t xml:space="preserve"> </w:t>
      </w:r>
      <w:r w:rsidR="0087381F" w:rsidRPr="00041EA9">
        <w:rPr>
          <w:rFonts w:ascii="Tahoma" w:hAnsi="Tahoma" w:cs="Tahoma"/>
          <w:color w:val="000000"/>
          <w:sz w:val="22"/>
          <w:szCs w:val="22"/>
        </w:rPr>
        <w:t>Internet</w:t>
      </w:r>
      <w:r w:rsidRPr="00041EA9">
        <w:rPr>
          <w:rFonts w:ascii="Tahoma" w:hAnsi="Tahoma" w:cs="Tahoma"/>
          <w:color w:val="000000"/>
          <w:sz w:val="22"/>
          <w:szCs w:val="22"/>
        </w:rPr>
        <w:t xml:space="preserve"> LLC </w:t>
      </w:r>
      <w:r>
        <w:rPr>
          <w:rFonts w:ascii="Tahoma" w:hAnsi="Tahoma" w:cs="Tahoma"/>
          <w:color w:val="000000"/>
          <w:sz w:val="22"/>
          <w:szCs w:val="22"/>
        </w:rPr>
        <w:t xml:space="preserve">Has provided </w:t>
      </w:r>
      <w:r w:rsidR="00594EC1">
        <w:rPr>
          <w:rFonts w:ascii="Tahoma" w:hAnsi="Tahoma" w:cs="Tahoma"/>
          <w:color w:val="000000"/>
          <w:sz w:val="22"/>
          <w:szCs w:val="22"/>
        </w:rPr>
        <w:t>wireless internet</w:t>
      </w:r>
      <w:r w:rsidRPr="00041EA9">
        <w:rPr>
          <w:rFonts w:ascii="Tahoma" w:hAnsi="Tahoma" w:cs="Tahoma"/>
          <w:color w:val="000000"/>
          <w:sz w:val="22"/>
          <w:szCs w:val="22"/>
        </w:rPr>
        <w:t xml:space="preserve"> service t</w:t>
      </w:r>
      <w:r>
        <w:rPr>
          <w:rFonts w:ascii="Tahoma" w:hAnsi="Tahoma" w:cs="Tahoma"/>
          <w:color w:val="000000"/>
          <w:sz w:val="22"/>
          <w:szCs w:val="22"/>
        </w:rPr>
        <w:t>o over 3000</w:t>
      </w:r>
      <w:r w:rsidRPr="00041EA9">
        <w:rPr>
          <w:rFonts w:ascii="Tahoma" w:hAnsi="Tahoma" w:cs="Tahoma"/>
          <w:color w:val="000000"/>
          <w:sz w:val="22"/>
          <w:szCs w:val="22"/>
        </w:rPr>
        <w:t xml:space="preserve"> customers since March 2016. Plains Internet has deployed an</w:t>
      </w:r>
      <w:r>
        <w:rPr>
          <w:rFonts w:ascii="Tahoma" w:hAnsi="Tahoma" w:cs="Tahoma"/>
          <w:color w:val="000000"/>
          <w:sz w:val="22"/>
          <w:szCs w:val="22"/>
        </w:rPr>
        <w:t xml:space="preserve"> </w:t>
      </w:r>
      <w:r w:rsidRPr="00041EA9">
        <w:rPr>
          <w:rFonts w:ascii="Tahoma" w:hAnsi="Tahoma" w:cs="Tahoma"/>
          <w:color w:val="000000"/>
          <w:sz w:val="22"/>
          <w:szCs w:val="22"/>
        </w:rPr>
        <w:t>advanced terrestrial fixed wireless telecommunications network capable of serving consumers</w:t>
      </w:r>
      <w:r>
        <w:rPr>
          <w:rFonts w:ascii="Tahoma" w:hAnsi="Tahoma" w:cs="Tahoma"/>
          <w:color w:val="000000"/>
          <w:sz w:val="22"/>
          <w:szCs w:val="22"/>
        </w:rPr>
        <w:t xml:space="preserve"> </w:t>
      </w:r>
      <w:r w:rsidRPr="00041EA9">
        <w:rPr>
          <w:rFonts w:ascii="Tahoma" w:hAnsi="Tahoma" w:cs="Tahoma"/>
          <w:color w:val="000000"/>
          <w:sz w:val="22"/>
          <w:szCs w:val="22"/>
        </w:rPr>
        <w:t xml:space="preserve">basic and advanced communications needs. </w:t>
      </w:r>
    </w:p>
    <w:p w14:paraId="0CD098D4" w14:textId="77777777" w:rsidR="00E66402" w:rsidRPr="00E66402" w:rsidRDefault="00E66402" w:rsidP="002C55CE">
      <w:pPr>
        <w:autoSpaceDE w:val="0"/>
        <w:autoSpaceDN w:val="0"/>
        <w:adjustRightInd w:val="0"/>
        <w:spacing w:line="360" w:lineRule="auto"/>
        <w:rPr>
          <w:rFonts w:ascii="Tahoma" w:hAnsi="Tahoma" w:cs="Tahoma"/>
          <w:sz w:val="22"/>
          <w:szCs w:val="22"/>
        </w:rPr>
      </w:pPr>
    </w:p>
    <w:p w14:paraId="65C30F26" w14:textId="072907A4" w:rsidR="001B67BB" w:rsidRDefault="001B67BB" w:rsidP="002C55CE">
      <w:pPr>
        <w:autoSpaceDE w:val="0"/>
        <w:autoSpaceDN w:val="0"/>
        <w:adjustRightInd w:val="0"/>
        <w:spacing w:line="360" w:lineRule="auto"/>
        <w:rPr>
          <w:rFonts w:ascii="TimesNewRomanPSMT" w:hAnsi="TimesNewRomanPSMT" w:cs="TimesNewRomanPSMT"/>
          <w:sz w:val="22"/>
          <w:szCs w:val="22"/>
        </w:rPr>
      </w:pPr>
    </w:p>
    <w:p w14:paraId="4C16C218" w14:textId="042BF2FA" w:rsidR="001B67BB" w:rsidRPr="00041EA9" w:rsidRDefault="00BE3420" w:rsidP="00041EA9">
      <w:pPr>
        <w:pStyle w:val="ListParagraph"/>
        <w:numPr>
          <w:ilvl w:val="0"/>
          <w:numId w:val="1"/>
        </w:numPr>
        <w:autoSpaceDE w:val="0"/>
        <w:autoSpaceDN w:val="0"/>
        <w:adjustRightInd w:val="0"/>
        <w:spacing w:line="360" w:lineRule="auto"/>
        <w:rPr>
          <w:rFonts w:ascii="Tahoma" w:hAnsi="Tahoma" w:cs="Tahoma"/>
          <w:b/>
          <w:sz w:val="22"/>
          <w:szCs w:val="22"/>
        </w:rPr>
      </w:pPr>
      <w:r w:rsidRPr="00041EA9">
        <w:rPr>
          <w:rFonts w:ascii="Tahoma" w:hAnsi="Tahoma" w:cs="Tahoma"/>
          <w:b/>
          <w:sz w:val="22"/>
          <w:szCs w:val="22"/>
        </w:rPr>
        <w:t>Service Requirements</w:t>
      </w:r>
    </w:p>
    <w:p w14:paraId="1FE6B29B" w14:textId="122BE565" w:rsidR="000B2B37" w:rsidRDefault="001B67BB" w:rsidP="002C55CE">
      <w:pPr>
        <w:autoSpaceDE w:val="0"/>
        <w:autoSpaceDN w:val="0"/>
        <w:adjustRightInd w:val="0"/>
        <w:spacing w:line="360" w:lineRule="auto"/>
        <w:rPr>
          <w:rFonts w:ascii="Tahoma" w:hAnsi="Tahoma" w:cs="Tahoma"/>
          <w:sz w:val="22"/>
          <w:szCs w:val="22"/>
        </w:rPr>
      </w:pPr>
      <w:r w:rsidRPr="001B67BB">
        <w:rPr>
          <w:rFonts w:ascii="Tahoma" w:hAnsi="Tahoma" w:cs="Tahoma"/>
          <w:sz w:val="22"/>
          <w:szCs w:val="22"/>
        </w:rPr>
        <w:lastRenderedPageBreak/>
        <w:t>Plains Internet</w:t>
      </w:r>
      <w:r>
        <w:rPr>
          <w:rFonts w:ascii="Tahoma" w:hAnsi="Tahoma" w:cs="Tahoma"/>
          <w:sz w:val="22"/>
          <w:szCs w:val="22"/>
        </w:rPr>
        <w:t xml:space="preserve"> will offer</w:t>
      </w:r>
      <w:r w:rsidR="00BE3420">
        <w:rPr>
          <w:rFonts w:ascii="Tahoma" w:hAnsi="Tahoma" w:cs="Tahoma"/>
          <w:sz w:val="22"/>
          <w:szCs w:val="22"/>
        </w:rPr>
        <w:t xml:space="preserve"> all </w:t>
      </w:r>
      <w:r w:rsidR="00D64142">
        <w:rPr>
          <w:rFonts w:ascii="Tahoma" w:hAnsi="Tahoma" w:cs="Tahoma"/>
          <w:sz w:val="22"/>
          <w:szCs w:val="22"/>
        </w:rPr>
        <w:t>s</w:t>
      </w:r>
      <w:r w:rsidR="00BE3420">
        <w:rPr>
          <w:rFonts w:ascii="Tahoma" w:hAnsi="Tahoma" w:cs="Tahoma"/>
          <w:sz w:val="22"/>
          <w:szCs w:val="22"/>
        </w:rPr>
        <w:t xml:space="preserve">ervices that the Commission designates for high cost universal service </w:t>
      </w:r>
      <w:r w:rsidR="00D64142">
        <w:rPr>
          <w:rFonts w:ascii="Tahoma" w:hAnsi="Tahoma" w:cs="Tahoma"/>
          <w:sz w:val="22"/>
          <w:szCs w:val="22"/>
        </w:rPr>
        <w:t>support</w:t>
      </w:r>
      <w:r>
        <w:rPr>
          <w:rFonts w:ascii="Tahoma" w:hAnsi="Tahoma" w:cs="Tahoma"/>
          <w:sz w:val="22"/>
          <w:szCs w:val="22"/>
        </w:rPr>
        <w:t xml:space="preserve"> throughout our designated service area</w:t>
      </w:r>
      <w:r w:rsidR="00D64142">
        <w:rPr>
          <w:rFonts w:ascii="Tahoma" w:hAnsi="Tahoma" w:cs="Tahoma"/>
          <w:sz w:val="22"/>
          <w:szCs w:val="22"/>
        </w:rPr>
        <w:t xml:space="preserve">s either using our own facilities or a combination of our own facilities and resale of another carrier’s services. Plains Internet will advertise the availability of these services (and the charges thereof) using media of general distribution. </w:t>
      </w:r>
      <w:r>
        <w:rPr>
          <w:rFonts w:ascii="Tahoma" w:hAnsi="Tahoma" w:cs="Tahoma"/>
          <w:sz w:val="22"/>
          <w:szCs w:val="22"/>
        </w:rPr>
        <w:t>Plains Internet will offer</w:t>
      </w:r>
      <w:r w:rsidR="000B2B37">
        <w:rPr>
          <w:rFonts w:ascii="Tahoma" w:hAnsi="Tahoma" w:cs="Tahoma"/>
          <w:sz w:val="22"/>
          <w:szCs w:val="22"/>
        </w:rPr>
        <w:t xml:space="preserve"> supported</w:t>
      </w:r>
      <w:r>
        <w:rPr>
          <w:rFonts w:ascii="Tahoma" w:hAnsi="Tahoma" w:cs="Tahoma"/>
          <w:sz w:val="22"/>
          <w:szCs w:val="22"/>
        </w:rPr>
        <w:t xml:space="preserve"> qualifying voice service using a combination</w:t>
      </w:r>
      <w:r w:rsidR="000B2B37">
        <w:rPr>
          <w:rFonts w:ascii="Tahoma" w:hAnsi="Tahoma" w:cs="Tahoma"/>
          <w:sz w:val="22"/>
          <w:szCs w:val="22"/>
        </w:rPr>
        <w:t xml:space="preserve"> of its own facilities and resale.</w:t>
      </w:r>
      <w:r w:rsidR="00D64142">
        <w:rPr>
          <w:rFonts w:ascii="Tahoma" w:hAnsi="Tahoma" w:cs="Tahoma"/>
          <w:sz w:val="22"/>
          <w:szCs w:val="22"/>
        </w:rPr>
        <w:t xml:space="preserve"> Plains Internet will offer voice telephony as a standalone service throughout our designated service areas. Plains Internet will offer voice telephony services at rates that are reasonably comparable to urban rates. </w:t>
      </w:r>
      <w:r w:rsidR="000B2B37">
        <w:rPr>
          <w:rFonts w:ascii="Tahoma" w:hAnsi="Tahoma" w:cs="Tahoma"/>
          <w:sz w:val="22"/>
          <w:szCs w:val="22"/>
        </w:rPr>
        <w:t xml:space="preserve"> Plains Internet will be legally responsible for dealing with customer problems, providing quality of service guarantees, and meeting universal service fund (USF)-related requirements. Accordingly, Plains Internet will satisfy its voice obligation by offering voice service through an affiliate or by offering a managed voice solution (including VoIP) through a third-party vendor and will not simply rely on the availability of over the top voice options.</w:t>
      </w:r>
    </w:p>
    <w:p w14:paraId="0F2A125C" w14:textId="571958B4" w:rsidR="0087381F" w:rsidRDefault="0087381F" w:rsidP="0087381F">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I</w:t>
      </w:r>
      <w:r w:rsidR="00301DCD">
        <w:rPr>
          <w:rFonts w:ascii="TimesNewRomanPS-BoldMT" w:hAnsi="TimesNewRomanPS-BoldMT" w:cs="TimesNewRomanPS-BoldMT"/>
          <w:b/>
          <w:bCs/>
          <w:color w:val="000000"/>
        </w:rPr>
        <w:t>V</w:t>
      </w:r>
      <w:r>
        <w:rPr>
          <w:rFonts w:ascii="TimesNewRomanPS-BoldMT" w:hAnsi="TimesNewRomanPS-BoldMT" w:cs="TimesNewRomanPS-BoldMT"/>
          <w:b/>
          <w:bCs/>
          <w:color w:val="000000"/>
        </w:rPr>
        <w:t>. PLAINS INTERNET MEETS THE STATUTORY AND REGULATORY</w:t>
      </w:r>
    </w:p>
    <w:p w14:paraId="47C4D483" w14:textId="0B9E2003" w:rsidR="0087381F" w:rsidRDefault="0087381F" w:rsidP="0087381F">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 xml:space="preserve">PREREQUISITES FOR THE REQUESTED ELIGIBLE </w:t>
      </w:r>
      <w:r w:rsidR="006E232F">
        <w:rPr>
          <w:rFonts w:ascii="TimesNewRomanPS-BoldMT" w:hAnsi="TimesNewRomanPS-BoldMT" w:cs="TimesNewRomanPS-BoldMT"/>
          <w:b/>
          <w:bCs/>
          <w:color w:val="000000"/>
        </w:rPr>
        <w:t>T</w:t>
      </w:r>
      <w:r>
        <w:rPr>
          <w:rFonts w:ascii="TimesNewRomanPS-BoldMT" w:hAnsi="TimesNewRomanPS-BoldMT" w:cs="TimesNewRomanPS-BoldMT"/>
          <w:b/>
          <w:bCs/>
          <w:color w:val="000000"/>
        </w:rPr>
        <w:t>ELECOMMUNICATIONS</w:t>
      </w:r>
      <w:r w:rsidR="006E232F">
        <w:rPr>
          <w:rFonts w:ascii="TimesNewRomanPS-BoldMT" w:hAnsi="TimesNewRomanPS-BoldMT" w:cs="TimesNewRomanPS-BoldMT"/>
          <w:b/>
          <w:bCs/>
          <w:color w:val="000000"/>
        </w:rPr>
        <w:t xml:space="preserve"> </w:t>
      </w:r>
      <w:r>
        <w:rPr>
          <w:rFonts w:ascii="TimesNewRomanPS-BoldMT" w:hAnsi="TimesNewRomanPS-BoldMT" w:cs="TimesNewRomanPS-BoldMT"/>
          <w:b/>
          <w:bCs/>
          <w:color w:val="000000"/>
        </w:rPr>
        <w:t>CARRIER DESIGNATION</w:t>
      </w:r>
    </w:p>
    <w:p w14:paraId="2A7B3D5D" w14:textId="77777777" w:rsidR="0087381F" w:rsidRDefault="0087381F" w:rsidP="0087381F">
      <w:pPr>
        <w:autoSpaceDE w:val="0"/>
        <w:autoSpaceDN w:val="0"/>
        <w:adjustRightInd w:val="0"/>
        <w:rPr>
          <w:rFonts w:ascii="TimesNewRomanPS-BoldMT" w:hAnsi="TimesNewRomanPS-BoldMT" w:cs="TimesNewRomanPS-BoldMT"/>
          <w:b/>
          <w:bCs/>
          <w:color w:val="000000"/>
        </w:rPr>
      </w:pPr>
    </w:p>
    <w:p w14:paraId="65197529" w14:textId="01F91D8A" w:rsidR="0087381F" w:rsidRP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As demonstrated herein, Plains Internet meets the requirements for designation as an ETC</w:t>
      </w:r>
    </w:p>
    <w:p w14:paraId="2803E9E3" w14:textId="77777777" w:rsidR="0087381F" w:rsidRP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Plains Internet: </w:t>
      </w:r>
    </w:p>
    <w:p w14:paraId="47294CC5" w14:textId="1A2C47D1" w:rsidR="0087381F" w:rsidRP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1. </w:t>
      </w:r>
      <w:r w:rsidR="00301DCD">
        <w:rPr>
          <w:rFonts w:ascii="Tahoma" w:hAnsi="Tahoma" w:cs="Tahoma"/>
          <w:color w:val="000000"/>
          <w:sz w:val="22"/>
          <w:szCs w:val="22"/>
        </w:rPr>
        <w:t>I</w:t>
      </w:r>
      <w:r w:rsidRPr="0087381F">
        <w:rPr>
          <w:rFonts w:ascii="Tahoma" w:hAnsi="Tahoma" w:cs="Tahoma"/>
          <w:color w:val="000000"/>
          <w:sz w:val="22"/>
          <w:szCs w:val="22"/>
        </w:rPr>
        <w:t xml:space="preserve">s a common carrier; </w:t>
      </w:r>
    </w:p>
    <w:p w14:paraId="270DBCF9" w14:textId="39B06976" w:rsidR="0087381F" w:rsidRP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2. </w:t>
      </w:r>
      <w:r w:rsidR="00301DCD">
        <w:rPr>
          <w:rFonts w:ascii="Tahoma" w:hAnsi="Tahoma" w:cs="Tahoma"/>
          <w:color w:val="000000"/>
          <w:sz w:val="22"/>
          <w:szCs w:val="22"/>
        </w:rPr>
        <w:t>W</w:t>
      </w:r>
      <w:r w:rsidRPr="0087381F">
        <w:rPr>
          <w:rFonts w:ascii="Tahoma" w:hAnsi="Tahoma" w:cs="Tahoma"/>
          <w:color w:val="000000"/>
          <w:sz w:val="22"/>
          <w:szCs w:val="22"/>
        </w:rPr>
        <w:t>ill offer the services supported by the CAFII support mechanisms within its service areas.</w:t>
      </w:r>
    </w:p>
    <w:p w14:paraId="124FF9DC" w14:textId="4E57548A" w:rsidR="0087381F" w:rsidRP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 3. </w:t>
      </w:r>
      <w:r w:rsidR="00301DCD">
        <w:rPr>
          <w:rFonts w:ascii="Tahoma" w:hAnsi="Tahoma" w:cs="Tahoma"/>
          <w:color w:val="000000"/>
          <w:sz w:val="22"/>
          <w:szCs w:val="22"/>
        </w:rPr>
        <w:t>Wi</w:t>
      </w:r>
      <w:r w:rsidRPr="0087381F">
        <w:rPr>
          <w:rFonts w:ascii="Tahoma" w:hAnsi="Tahoma" w:cs="Tahoma"/>
          <w:color w:val="000000"/>
          <w:sz w:val="22"/>
          <w:szCs w:val="22"/>
        </w:rPr>
        <w:t>ll use</w:t>
      </w:r>
      <w:r w:rsidR="00594EC1">
        <w:rPr>
          <w:rFonts w:ascii="Tahoma" w:hAnsi="Tahoma" w:cs="Tahoma"/>
          <w:color w:val="000000"/>
          <w:sz w:val="22"/>
          <w:szCs w:val="22"/>
        </w:rPr>
        <w:t xml:space="preserve"> a combination of its</w:t>
      </w:r>
      <w:r w:rsidRPr="0087381F">
        <w:rPr>
          <w:rFonts w:ascii="Tahoma" w:hAnsi="Tahoma" w:cs="Tahoma"/>
          <w:color w:val="000000"/>
          <w:sz w:val="22"/>
          <w:szCs w:val="22"/>
        </w:rPr>
        <w:t xml:space="preserve"> own facilities</w:t>
      </w:r>
      <w:r w:rsidR="00594EC1">
        <w:rPr>
          <w:rFonts w:ascii="Tahoma" w:hAnsi="Tahoma" w:cs="Tahoma"/>
          <w:color w:val="000000"/>
          <w:sz w:val="22"/>
          <w:szCs w:val="22"/>
        </w:rPr>
        <w:t xml:space="preserve"> and resale</w:t>
      </w:r>
      <w:r w:rsidRPr="0087381F">
        <w:rPr>
          <w:rFonts w:ascii="Tahoma" w:hAnsi="Tahoma" w:cs="Tahoma"/>
          <w:color w:val="000000"/>
          <w:sz w:val="22"/>
          <w:szCs w:val="22"/>
        </w:rPr>
        <w:t xml:space="preserve"> to provide the supported services; </w:t>
      </w:r>
    </w:p>
    <w:p w14:paraId="7B95E7A8" w14:textId="004F2BD1" w:rsidR="0087381F" w:rsidRP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4. </w:t>
      </w:r>
      <w:r w:rsidR="00301DCD">
        <w:rPr>
          <w:rFonts w:ascii="Tahoma" w:hAnsi="Tahoma" w:cs="Tahoma"/>
          <w:color w:val="000000"/>
          <w:sz w:val="22"/>
          <w:szCs w:val="22"/>
        </w:rPr>
        <w:t>W</w:t>
      </w:r>
      <w:r w:rsidRPr="0087381F">
        <w:rPr>
          <w:rFonts w:ascii="Tahoma" w:hAnsi="Tahoma" w:cs="Tahoma"/>
          <w:color w:val="000000"/>
          <w:sz w:val="22"/>
          <w:szCs w:val="22"/>
        </w:rPr>
        <w:t>ill provide all the supported services, throughout its designated service area;</w:t>
      </w:r>
    </w:p>
    <w:p w14:paraId="40E504D4" w14:textId="49D3C8AD" w:rsidR="0087381F" w:rsidRP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5. </w:t>
      </w:r>
      <w:r w:rsidR="00301DCD">
        <w:rPr>
          <w:rFonts w:ascii="Tahoma" w:hAnsi="Tahoma" w:cs="Tahoma"/>
          <w:color w:val="000000"/>
          <w:sz w:val="22"/>
          <w:szCs w:val="22"/>
        </w:rPr>
        <w:t>W</w:t>
      </w:r>
      <w:r w:rsidRPr="0087381F">
        <w:rPr>
          <w:rFonts w:ascii="Tahoma" w:hAnsi="Tahoma" w:cs="Tahoma"/>
          <w:color w:val="000000"/>
          <w:sz w:val="22"/>
          <w:szCs w:val="22"/>
        </w:rPr>
        <w:t>ill advertise the availability of its universal service offerings and charges for such</w:t>
      </w:r>
    </w:p>
    <w:p w14:paraId="4D8BCD83" w14:textId="77777777" w:rsid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offerings using media of general distribution; </w:t>
      </w:r>
    </w:p>
    <w:p w14:paraId="1A290D5D" w14:textId="43DBE43F" w:rsid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6. </w:t>
      </w:r>
      <w:r w:rsidR="00301DCD">
        <w:rPr>
          <w:rFonts w:ascii="Tahoma" w:hAnsi="Tahoma" w:cs="Tahoma"/>
          <w:color w:val="000000"/>
          <w:sz w:val="22"/>
          <w:szCs w:val="22"/>
        </w:rPr>
        <w:t>W</w:t>
      </w:r>
      <w:r w:rsidRPr="0087381F">
        <w:rPr>
          <w:rFonts w:ascii="Tahoma" w:hAnsi="Tahoma" w:cs="Tahoma"/>
          <w:color w:val="000000"/>
          <w:sz w:val="22"/>
          <w:szCs w:val="22"/>
        </w:rPr>
        <w:t>ill meet the additional application</w:t>
      </w:r>
      <w:r>
        <w:rPr>
          <w:rFonts w:ascii="Tahoma" w:hAnsi="Tahoma" w:cs="Tahoma"/>
          <w:color w:val="000000"/>
          <w:sz w:val="22"/>
          <w:szCs w:val="22"/>
        </w:rPr>
        <w:t xml:space="preserve"> </w:t>
      </w:r>
      <w:r w:rsidRPr="0087381F">
        <w:rPr>
          <w:rFonts w:ascii="Tahoma" w:hAnsi="Tahoma" w:cs="Tahoma"/>
          <w:color w:val="000000"/>
          <w:sz w:val="22"/>
          <w:szCs w:val="22"/>
        </w:rPr>
        <w:t>requirements established by the FCC by:</w:t>
      </w:r>
    </w:p>
    <w:p w14:paraId="1C1FBE4E" w14:textId="32484919" w:rsidR="0087381F" w:rsidRP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 a) certifying that it will comply with the minimum</w:t>
      </w:r>
    </w:p>
    <w:p w14:paraId="777EDD55" w14:textId="77777777" w:rsid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service requirements applicable to the support that it receives; </w:t>
      </w:r>
    </w:p>
    <w:p w14:paraId="6B1F3C0C" w14:textId="77777777" w:rsid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b) demonstrating it </w:t>
      </w:r>
      <w:proofErr w:type="gramStart"/>
      <w:r w:rsidRPr="0087381F">
        <w:rPr>
          <w:rFonts w:ascii="Tahoma" w:hAnsi="Tahoma" w:cs="Tahoma"/>
          <w:color w:val="000000"/>
          <w:sz w:val="22"/>
          <w:szCs w:val="22"/>
        </w:rPr>
        <w:t>is able to</w:t>
      </w:r>
      <w:proofErr w:type="gramEnd"/>
      <w:r>
        <w:rPr>
          <w:rFonts w:ascii="Tahoma" w:hAnsi="Tahoma" w:cs="Tahoma"/>
          <w:color w:val="000000"/>
          <w:sz w:val="22"/>
          <w:szCs w:val="22"/>
        </w:rPr>
        <w:t xml:space="preserve"> </w:t>
      </w:r>
      <w:r w:rsidRPr="0087381F">
        <w:rPr>
          <w:rFonts w:ascii="Tahoma" w:hAnsi="Tahoma" w:cs="Tahoma"/>
          <w:color w:val="000000"/>
          <w:sz w:val="22"/>
          <w:szCs w:val="22"/>
        </w:rPr>
        <w:t>remain functional in emergency situations;</w:t>
      </w:r>
    </w:p>
    <w:p w14:paraId="58E3571C" w14:textId="0989160A" w:rsidR="0087381F" w:rsidRP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 c) demonstrating it will satisfy consumer protection</w:t>
      </w:r>
    </w:p>
    <w:p w14:paraId="0CA02BE6" w14:textId="77777777" w:rsid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lastRenderedPageBreak/>
        <w:t>and service quality standards;</w:t>
      </w:r>
    </w:p>
    <w:p w14:paraId="4BA9EE28" w14:textId="332C13D9" w:rsid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 d) </w:t>
      </w:r>
      <w:r w:rsidR="0075203B">
        <w:rPr>
          <w:rFonts w:ascii="Tahoma" w:hAnsi="Tahoma" w:cs="Tahoma"/>
          <w:color w:val="000000"/>
          <w:sz w:val="22"/>
          <w:szCs w:val="22"/>
        </w:rPr>
        <w:t>has demonstrated through the CAFII application process</w:t>
      </w:r>
      <w:r w:rsidRPr="0087381F">
        <w:rPr>
          <w:rFonts w:ascii="Tahoma" w:hAnsi="Tahoma" w:cs="Tahoma"/>
          <w:color w:val="000000"/>
          <w:sz w:val="22"/>
          <w:szCs w:val="22"/>
        </w:rPr>
        <w:t xml:space="preserve"> that it is financially and technically capable of</w:t>
      </w:r>
      <w:r w:rsidR="0075203B">
        <w:rPr>
          <w:rFonts w:ascii="Tahoma" w:hAnsi="Tahoma" w:cs="Tahoma"/>
          <w:color w:val="000000"/>
          <w:sz w:val="22"/>
          <w:szCs w:val="22"/>
        </w:rPr>
        <w:t xml:space="preserve"> </w:t>
      </w:r>
      <w:r w:rsidRPr="0087381F">
        <w:rPr>
          <w:rFonts w:ascii="Tahoma" w:hAnsi="Tahoma" w:cs="Tahoma"/>
          <w:color w:val="000000"/>
          <w:sz w:val="22"/>
          <w:szCs w:val="22"/>
        </w:rPr>
        <w:t xml:space="preserve">providing service in compliance with </w:t>
      </w:r>
      <w:r>
        <w:rPr>
          <w:rFonts w:ascii="Tahoma" w:hAnsi="Tahoma" w:cs="Tahoma"/>
          <w:color w:val="000000"/>
          <w:sz w:val="22"/>
          <w:szCs w:val="22"/>
        </w:rPr>
        <w:t>Commission</w:t>
      </w:r>
      <w:r w:rsidRPr="0087381F">
        <w:rPr>
          <w:rFonts w:ascii="Tahoma" w:hAnsi="Tahoma" w:cs="Tahoma"/>
          <w:color w:val="000000"/>
          <w:sz w:val="22"/>
          <w:szCs w:val="22"/>
        </w:rPr>
        <w:t xml:space="preserve"> rules;</w:t>
      </w:r>
    </w:p>
    <w:p w14:paraId="7847DC29" w14:textId="1D64DC47" w:rsid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  e) distributing information</w:t>
      </w:r>
      <w:r>
        <w:rPr>
          <w:rFonts w:ascii="Tahoma" w:hAnsi="Tahoma" w:cs="Tahoma"/>
          <w:color w:val="000000"/>
          <w:sz w:val="22"/>
          <w:szCs w:val="22"/>
        </w:rPr>
        <w:t xml:space="preserve"> </w:t>
      </w:r>
      <w:r w:rsidRPr="0087381F">
        <w:rPr>
          <w:rFonts w:ascii="Tahoma" w:hAnsi="Tahoma" w:cs="Tahoma"/>
          <w:color w:val="000000"/>
          <w:sz w:val="22"/>
          <w:szCs w:val="22"/>
        </w:rPr>
        <w:t>on its service offering.</w:t>
      </w:r>
    </w:p>
    <w:p w14:paraId="2859BB3F" w14:textId="7D570A4E" w:rsidR="0087381F" w:rsidRP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 7. </w:t>
      </w:r>
      <w:r w:rsidR="00301DCD">
        <w:rPr>
          <w:rFonts w:ascii="Tahoma" w:hAnsi="Tahoma" w:cs="Tahoma"/>
          <w:color w:val="000000"/>
          <w:sz w:val="22"/>
          <w:szCs w:val="22"/>
        </w:rPr>
        <w:t>W</w:t>
      </w:r>
      <w:r w:rsidRPr="0087381F">
        <w:rPr>
          <w:rFonts w:ascii="Tahoma" w:hAnsi="Tahoma" w:cs="Tahoma"/>
          <w:color w:val="000000"/>
          <w:sz w:val="22"/>
          <w:szCs w:val="22"/>
        </w:rPr>
        <w:t>ill comply with all applicable reporting requirements and</w:t>
      </w:r>
    </w:p>
    <w:p w14:paraId="022EBD5D" w14:textId="0037730A" w:rsidR="0087381F" w:rsidRDefault="0087381F" w:rsidP="0087381F">
      <w:pPr>
        <w:autoSpaceDE w:val="0"/>
        <w:autoSpaceDN w:val="0"/>
        <w:adjustRightInd w:val="0"/>
        <w:rPr>
          <w:rFonts w:ascii="Tahoma" w:hAnsi="Tahoma" w:cs="Tahoma"/>
          <w:color w:val="000000"/>
          <w:sz w:val="22"/>
          <w:szCs w:val="22"/>
        </w:rPr>
      </w:pPr>
      <w:r w:rsidRPr="0087381F">
        <w:rPr>
          <w:rFonts w:ascii="Tahoma" w:hAnsi="Tahoma" w:cs="Tahoma"/>
          <w:color w:val="000000"/>
          <w:sz w:val="22"/>
          <w:szCs w:val="22"/>
        </w:rPr>
        <w:t>additional conditions; and,</w:t>
      </w:r>
    </w:p>
    <w:p w14:paraId="6A44ED72" w14:textId="77777777" w:rsidR="00594EC1" w:rsidRDefault="00594EC1" w:rsidP="0087381F">
      <w:pPr>
        <w:autoSpaceDE w:val="0"/>
        <w:autoSpaceDN w:val="0"/>
        <w:adjustRightInd w:val="0"/>
        <w:rPr>
          <w:rFonts w:ascii="Tahoma" w:hAnsi="Tahoma" w:cs="Tahoma"/>
          <w:color w:val="000000"/>
          <w:sz w:val="22"/>
          <w:szCs w:val="22"/>
        </w:rPr>
      </w:pPr>
    </w:p>
    <w:p w14:paraId="15712486" w14:textId="6D3E7C57" w:rsidR="0087381F" w:rsidRPr="0087381F" w:rsidRDefault="0087381F" w:rsidP="0087381F">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 xml:space="preserve"> 8. </w:t>
      </w:r>
      <w:r w:rsidR="00301DCD">
        <w:rPr>
          <w:rFonts w:ascii="Tahoma" w:hAnsi="Tahoma" w:cs="Tahoma"/>
          <w:color w:val="000000"/>
          <w:sz w:val="22"/>
          <w:szCs w:val="22"/>
        </w:rPr>
        <w:t>Wi</w:t>
      </w:r>
      <w:r w:rsidRPr="0087381F">
        <w:rPr>
          <w:rFonts w:ascii="Tahoma" w:hAnsi="Tahoma" w:cs="Tahoma"/>
          <w:color w:val="000000"/>
          <w:sz w:val="22"/>
          <w:szCs w:val="22"/>
        </w:rPr>
        <w:t>ll take steps to help prevent waste, fraud, and abuse of the USF.</w:t>
      </w:r>
    </w:p>
    <w:p w14:paraId="09F3308B" w14:textId="6A022E6C" w:rsidR="00BB5BDE" w:rsidRDefault="0087381F" w:rsidP="00BB5BDE">
      <w:pPr>
        <w:autoSpaceDE w:val="0"/>
        <w:autoSpaceDN w:val="0"/>
        <w:adjustRightInd w:val="0"/>
        <w:spacing w:line="360" w:lineRule="auto"/>
        <w:rPr>
          <w:rFonts w:ascii="Tahoma" w:hAnsi="Tahoma" w:cs="Tahoma"/>
          <w:color w:val="000000"/>
          <w:sz w:val="22"/>
          <w:szCs w:val="22"/>
        </w:rPr>
      </w:pPr>
      <w:r w:rsidRPr="0087381F">
        <w:rPr>
          <w:rFonts w:ascii="Tahoma" w:hAnsi="Tahoma" w:cs="Tahoma"/>
          <w:color w:val="000000"/>
          <w:sz w:val="22"/>
          <w:szCs w:val="22"/>
        </w:rPr>
        <w:t>Furthermore, Plains Internet designation as an ETC serves the public interest by expanding</w:t>
      </w:r>
      <w:r>
        <w:rPr>
          <w:rFonts w:ascii="Tahoma" w:hAnsi="Tahoma" w:cs="Tahoma"/>
          <w:color w:val="000000"/>
          <w:sz w:val="22"/>
          <w:szCs w:val="22"/>
        </w:rPr>
        <w:t xml:space="preserve"> </w:t>
      </w:r>
      <w:r w:rsidRPr="0087381F">
        <w:rPr>
          <w:rFonts w:ascii="Tahoma" w:hAnsi="Tahoma" w:cs="Tahoma"/>
          <w:color w:val="000000"/>
          <w:sz w:val="22"/>
          <w:szCs w:val="22"/>
        </w:rPr>
        <w:t>customer choice and increasing service availability. Plains Internet</w:t>
      </w:r>
      <w:r w:rsidR="00301DCD">
        <w:rPr>
          <w:rFonts w:ascii="Tahoma" w:hAnsi="Tahoma" w:cs="Tahoma"/>
          <w:color w:val="000000"/>
          <w:sz w:val="22"/>
          <w:szCs w:val="22"/>
        </w:rPr>
        <w:t>’</w:t>
      </w:r>
      <w:r w:rsidRPr="0087381F">
        <w:rPr>
          <w:rFonts w:ascii="Tahoma" w:hAnsi="Tahoma" w:cs="Tahoma"/>
          <w:color w:val="000000"/>
          <w:sz w:val="22"/>
          <w:szCs w:val="22"/>
        </w:rPr>
        <w:t>s complian</w:t>
      </w:r>
      <w:r w:rsidR="00BB5BDE">
        <w:rPr>
          <w:rFonts w:ascii="Tahoma" w:hAnsi="Tahoma" w:cs="Tahoma"/>
          <w:color w:val="000000"/>
          <w:sz w:val="22"/>
          <w:szCs w:val="22"/>
        </w:rPr>
        <w:t>ce with each of the applicable requirements to obtain ETC designation is discussed below:</w:t>
      </w:r>
    </w:p>
    <w:p w14:paraId="19273003" w14:textId="77777777" w:rsidR="00BB5BDE" w:rsidRDefault="00BB5BDE" w:rsidP="00BB5BDE">
      <w:pPr>
        <w:autoSpaceDE w:val="0"/>
        <w:autoSpaceDN w:val="0"/>
        <w:adjustRightInd w:val="0"/>
        <w:rPr>
          <w:rFonts w:ascii="TimesNewRomanPS-BoldMT" w:hAnsi="TimesNewRomanPS-BoldMT" w:cs="TimesNewRomanPS-BoldMT"/>
          <w:b/>
          <w:bCs/>
          <w:color w:val="000000"/>
        </w:rPr>
      </w:pPr>
    </w:p>
    <w:p w14:paraId="1DA6BD23" w14:textId="20B2A169" w:rsidR="00BB5BDE" w:rsidRPr="00BB5BDE" w:rsidRDefault="00BB5BDE" w:rsidP="00BB5BDE">
      <w:pPr>
        <w:pStyle w:val="ListParagraph"/>
        <w:numPr>
          <w:ilvl w:val="0"/>
          <w:numId w:val="2"/>
        </w:numPr>
        <w:autoSpaceDE w:val="0"/>
        <w:autoSpaceDN w:val="0"/>
        <w:adjustRightInd w:val="0"/>
        <w:rPr>
          <w:rFonts w:ascii="Tahoma" w:hAnsi="Tahoma" w:cs="Tahoma"/>
          <w:b/>
          <w:bCs/>
          <w:color w:val="000000"/>
          <w:sz w:val="22"/>
          <w:szCs w:val="22"/>
        </w:rPr>
      </w:pPr>
      <w:r w:rsidRPr="00BB5BDE">
        <w:rPr>
          <w:rFonts w:ascii="Tahoma" w:hAnsi="Tahoma" w:cs="Tahoma"/>
          <w:b/>
          <w:bCs/>
          <w:color w:val="000000"/>
          <w:sz w:val="22"/>
          <w:szCs w:val="22"/>
        </w:rPr>
        <w:t xml:space="preserve">Plains Internet is a Common Carrier </w:t>
      </w:r>
    </w:p>
    <w:p w14:paraId="5339F9DC" w14:textId="77777777" w:rsidR="00BB5BDE" w:rsidRDefault="00BB5BDE" w:rsidP="00BB5BDE">
      <w:pPr>
        <w:pStyle w:val="ListParagraph"/>
        <w:autoSpaceDE w:val="0"/>
        <w:autoSpaceDN w:val="0"/>
        <w:adjustRightInd w:val="0"/>
        <w:ind w:left="420"/>
        <w:rPr>
          <w:rFonts w:ascii="Tahoma" w:hAnsi="Tahoma" w:cs="Tahoma"/>
          <w:color w:val="000000"/>
          <w:sz w:val="22"/>
          <w:szCs w:val="22"/>
        </w:rPr>
      </w:pPr>
    </w:p>
    <w:p w14:paraId="580049D9" w14:textId="355982C5" w:rsidR="00BB5BDE" w:rsidRDefault="00BB5BDE" w:rsidP="00BB5BDE">
      <w:pPr>
        <w:pStyle w:val="ListParagraph"/>
        <w:autoSpaceDE w:val="0"/>
        <w:autoSpaceDN w:val="0"/>
        <w:adjustRightInd w:val="0"/>
        <w:spacing w:line="360" w:lineRule="auto"/>
        <w:ind w:left="420"/>
        <w:rPr>
          <w:rFonts w:ascii="Tahoma" w:hAnsi="Tahoma" w:cs="Tahoma"/>
          <w:color w:val="000000"/>
          <w:sz w:val="22"/>
          <w:szCs w:val="22"/>
        </w:rPr>
      </w:pPr>
      <w:r w:rsidRPr="00BB5BDE">
        <w:rPr>
          <w:rFonts w:ascii="Tahoma" w:hAnsi="Tahoma" w:cs="Tahoma"/>
          <w:color w:val="000000"/>
          <w:sz w:val="22"/>
          <w:szCs w:val="22"/>
        </w:rPr>
        <w:t>Plains Internet is regulated as a common carrier. As such, Plains Internet certifies that it is a common carrier for purposes of ETC designation.</w:t>
      </w:r>
      <w:r>
        <w:rPr>
          <w:rFonts w:ascii="Tahoma" w:hAnsi="Tahoma" w:cs="Tahoma"/>
          <w:color w:val="000000"/>
          <w:sz w:val="22"/>
          <w:szCs w:val="22"/>
        </w:rPr>
        <w:t xml:space="preserve"> </w:t>
      </w:r>
      <w:r w:rsidRPr="00BB5BDE">
        <w:rPr>
          <w:rFonts w:ascii="Tahoma" w:hAnsi="Tahoma" w:cs="Tahoma"/>
          <w:color w:val="000000"/>
          <w:sz w:val="22"/>
          <w:szCs w:val="22"/>
        </w:rPr>
        <w:t>Therefore, Plains Internet meets the ETC requirement of being a common carrier.</w:t>
      </w:r>
    </w:p>
    <w:p w14:paraId="45FA85A0" w14:textId="77777777" w:rsidR="00BB5BDE" w:rsidRDefault="00BB5BDE" w:rsidP="00BB5BDE">
      <w:pPr>
        <w:pStyle w:val="ListParagraph"/>
        <w:autoSpaceDE w:val="0"/>
        <w:autoSpaceDN w:val="0"/>
        <w:adjustRightInd w:val="0"/>
        <w:spacing w:line="360" w:lineRule="auto"/>
        <w:ind w:left="420"/>
        <w:rPr>
          <w:rFonts w:ascii="Tahoma" w:hAnsi="Tahoma" w:cs="Tahoma"/>
          <w:color w:val="000000"/>
          <w:sz w:val="22"/>
          <w:szCs w:val="22"/>
        </w:rPr>
      </w:pPr>
    </w:p>
    <w:p w14:paraId="0CC670AB" w14:textId="1EACFC2B" w:rsidR="00BB5BDE" w:rsidRPr="00BB5BDE" w:rsidRDefault="00BB5BDE" w:rsidP="00BB5BDE">
      <w:pPr>
        <w:pStyle w:val="ListParagraph"/>
        <w:numPr>
          <w:ilvl w:val="0"/>
          <w:numId w:val="2"/>
        </w:numPr>
        <w:autoSpaceDE w:val="0"/>
        <w:autoSpaceDN w:val="0"/>
        <w:adjustRightInd w:val="0"/>
        <w:rPr>
          <w:rFonts w:ascii="Tahoma" w:hAnsi="Tahoma" w:cs="Tahoma"/>
          <w:b/>
          <w:bCs/>
          <w:color w:val="000000"/>
          <w:sz w:val="22"/>
          <w:szCs w:val="22"/>
        </w:rPr>
      </w:pPr>
      <w:r w:rsidRPr="00BB5BDE">
        <w:rPr>
          <w:rFonts w:ascii="Tahoma" w:hAnsi="Tahoma" w:cs="Tahoma"/>
          <w:b/>
          <w:bCs/>
          <w:color w:val="000000"/>
          <w:sz w:val="22"/>
          <w:szCs w:val="22"/>
        </w:rPr>
        <w:t>Plains Internet Offers the Services Supported by the Federal Universal Service Support Mechanisms</w:t>
      </w:r>
    </w:p>
    <w:p w14:paraId="6C8AAA1D" w14:textId="77777777" w:rsidR="00BB5BDE" w:rsidRPr="00BB5BDE" w:rsidRDefault="00BB5BDE" w:rsidP="00BB5BDE">
      <w:pPr>
        <w:pStyle w:val="ListParagraph"/>
        <w:autoSpaceDE w:val="0"/>
        <w:autoSpaceDN w:val="0"/>
        <w:adjustRightInd w:val="0"/>
        <w:ind w:left="420"/>
        <w:rPr>
          <w:rFonts w:ascii="Tahoma" w:hAnsi="Tahoma" w:cs="Tahoma"/>
          <w:b/>
          <w:bCs/>
          <w:color w:val="000000"/>
          <w:sz w:val="22"/>
          <w:szCs w:val="22"/>
        </w:rPr>
      </w:pPr>
    </w:p>
    <w:p w14:paraId="5726360F" w14:textId="57F6238C" w:rsidR="00BB5BDE" w:rsidRDefault="00BB5BDE" w:rsidP="00BB5BDE">
      <w:pPr>
        <w:autoSpaceDE w:val="0"/>
        <w:autoSpaceDN w:val="0"/>
        <w:adjustRightInd w:val="0"/>
        <w:spacing w:line="360" w:lineRule="auto"/>
        <w:rPr>
          <w:rFonts w:ascii="Tahoma" w:hAnsi="Tahoma" w:cs="Tahoma"/>
          <w:color w:val="000000"/>
          <w:sz w:val="22"/>
          <w:szCs w:val="22"/>
        </w:rPr>
      </w:pPr>
      <w:r w:rsidRPr="00BB5BDE">
        <w:rPr>
          <w:rFonts w:ascii="Tahoma" w:hAnsi="Tahoma" w:cs="Tahoma"/>
          <w:color w:val="000000"/>
          <w:sz w:val="22"/>
          <w:szCs w:val="22"/>
        </w:rPr>
        <w:t>As described below, Plains Internet provides</w:t>
      </w:r>
      <w:r>
        <w:rPr>
          <w:rFonts w:ascii="Tahoma" w:hAnsi="Tahoma" w:cs="Tahoma"/>
          <w:color w:val="000000"/>
          <w:sz w:val="22"/>
          <w:szCs w:val="22"/>
        </w:rPr>
        <w:t xml:space="preserve"> fixed</w:t>
      </w:r>
      <w:r w:rsidRPr="00BB5BDE">
        <w:rPr>
          <w:rFonts w:ascii="Tahoma" w:hAnsi="Tahoma" w:cs="Tahoma"/>
          <w:color w:val="000000"/>
          <w:sz w:val="22"/>
          <w:szCs w:val="22"/>
        </w:rPr>
        <w:t xml:space="preserve"> </w:t>
      </w:r>
      <w:r>
        <w:rPr>
          <w:rFonts w:ascii="Tahoma" w:hAnsi="Tahoma" w:cs="Tahoma"/>
          <w:color w:val="000000"/>
          <w:sz w:val="22"/>
          <w:szCs w:val="22"/>
        </w:rPr>
        <w:t xml:space="preserve">wireless </w:t>
      </w:r>
      <w:r w:rsidRPr="00BB5BDE">
        <w:rPr>
          <w:rFonts w:ascii="Tahoma" w:hAnsi="Tahoma" w:cs="Tahoma"/>
          <w:color w:val="000000"/>
          <w:sz w:val="22"/>
          <w:szCs w:val="22"/>
        </w:rPr>
        <w:t>service supported by federal universal service</w:t>
      </w:r>
      <w:r>
        <w:rPr>
          <w:rFonts w:ascii="Tahoma" w:hAnsi="Tahoma" w:cs="Tahoma"/>
          <w:color w:val="000000"/>
          <w:sz w:val="22"/>
          <w:szCs w:val="22"/>
        </w:rPr>
        <w:t xml:space="preserve"> </w:t>
      </w:r>
      <w:r w:rsidRPr="00BB5BDE">
        <w:rPr>
          <w:rFonts w:ascii="Tahoma" w:hAnsi="Tahoma" w:cs="Tahoma"/>
          <w:color w:val="000000"/>
          <w:sz w:val="22"/>
          <w:szCs w:val="22"/>
        </w:rPr>
        <w:t xml:space="preserve">support mechanisms, including the following capabilities: </w:t>
      </w:r>
    </w:p>
    <w:p w14:paraId="57A5393C" w14:textId="3D024945" w:rsidR="00BB5BDE" w:rsidRDefault="00BB5BDE" w:rsidP="00BB5BDE">
      <w:pPr>
        <w:autoSpaceDE w:val="0"/>
        <w:autoSpaceDN w:val="0"/>
        <w:adjustRightInd w:val="0"/>
        <w:spacing w:line="360" w:lineRule="auto"/>
        <w:rPr>
          <w:rFonts w:ascii="Tahoma" w:hAnsi="Tahoma" w:cs="Tahoma"/>
          <w:color w:val="000000"/>
          <w:sz w:val="22"/>
          <w:szCs w:val="22"/>
        </w:rPr>
      </w:pPr>
      <w:r w:rsidRPr="00BB5BDE">
        <w:rPr>
          <w:rFonts w:ascii="Tahoma" w:hAnsi="Tahoma" w:cs="Tahoma"/>
          <w:color w:val="000000"/>
          <w:sz w:val="22"/>
          <w:szCs w:val="22"/>
        </w:rPr>
        <w:t xml:space="preserve">Plains Internet LLC meets the </w:t>
      </w:r>
      <w:r>
        <w:rPr>
          <w:rFonts w:ascii="Tahoma" w:hAnsi="Tahoma" w:cs="Tahoma"/>
          <w:color w:val="000000"/>
          <w:sz w:val="22"/>
          <w:szCs w:val="22"/>
        </w:rPr>
        <w:t xml:space="preserve">tier </w:t>
      </w:r>
      <w:r w:rsidRPr="00BB5BDE">
        <w:rPr>
          <w:rFonts w:ascii="Tahoma" w:hAnsi="Tahoma" w:cs="Tahoma"/>
          <w:color w:val="000000"/>
          <w:sz w:val="22"/>
          <w:szCs w:val="22"/>
        </w:rPr>
        <w:t xml:space="preserve">service speed standards for fixed </w:t>
      </w:r>
      <w:r>
        <w:rPr>
          <w:rFonts w:ascii="Tahoma" w:hAnsi="Tahoma" w:cs="Tahoma"/>
          <w:color w:val="000000"/>
          <w:sz w:val="22"/>
          <w:szCs w:val="22"/>
        </w:rPr>
        <w:t>wireless</w:t>
      </w:r>
      <w:r w:rsidRPr="00BB5BDE">
        <w:rPr>
          <w:rFonts w:ascii="Tahoma" w:hAnsi="Tahoma" w:cs="Tahoma"/>
          <w:color w:val="000000"/>
          <w:sz w:val="22"/>
          <w:szCs w:val="22"/>
        </w:rPr>
        <w:t xml:space="preserve"> at 10</w:t>
      </w:r>
      <w:r>
        <w:rPr>
          <w:rFonts w:ascii="Tahoma" w:hAnsi="Tahoma" w:cs="Tahoma"/>
          <w:color w:val="000000"/>
          <w:sz w:val="22"/>
          <w:szCs w:val="22"/>
        </w:rPr>
        <w:t>0</w:t>
      </w:r>
      <w:r w:rsidRPr="00BB5BDE">
        <w:rPr>
          <w:rFonts w:ascii="Tahoma" w:hAnsi="Tahoma" w:cs="Tahoma"/>
          <w:color w:val="000000"/>
          <w:sz w:val="22"/>
          <w:szCs w:val="22"/>
        </w:rPr>
        <w:t xml:space="preserve"> Mbps for download and </w:t>
      </w:r>
      <w:r>
        <w:rPr>
          <w:rFonts w:ascii="Tahoma" w:hAnsi="Tahoma" w:cs="Tahoma"/>
          <w:color w:val="000000"/>
          <w:sz w:val="22"/>
          <w:szCs w:val="22"/>
        </w:rPr>
        <w:t>20</w:t>
      </w:r>
      <w:r w:rsidRPr="00BB5BDE">
        <w:rPr>
          <w:rFonts w:ascii="Tahoma" w:hAnsi="Tahoma" w:cs="Tahoma"/>
          <w:color w:val="000000"/>
          <w:sz w:val="22"/>
          <w:szCs w:val="22"/>
        </w:rPr>
        <w:t xml:space="preserve"> Mbps for</w:t>
      </w:r>
      <w:r>
        <w:rPr>
          <w:rFonts w:ascii="Tahoma" w:hAnsi="Tahoma" w:cs="Tahoma"/>
          <w:color w:val="000000"/>
          <w:sz w:val="22"/>
          <w:szCs w:val="22"/>
        </w:rPr>
        <w:t xml:space="preserve"> </w:t>
      </w:r>
      <w:r w:rsidRPr="00BB5BDE">
        <w:rPr>
          <w:rFonts w:ascii="Tahoma" w:hAnsi="Tahoma" w:cs="Tahoma"/>
          <w:color w:val="000000"/>
          <w:sz w:val="22"/>
          <w:szCs w:val="22"/>
        </w:rPr>
        <w:t>upload.  Plains Internet, LLC also offers unlimited data on all</w:t>
      </w:r>
      <w:r>
        <w:rPr>
          <w:rFonts w:ascii="Tahoma" w:hAnsi="Tahoma" w:cs="Tahoma"/>
          <w:color w:val="000000"/>
          <w:sz w:val="22"/>
          <w:szCs w:val="22"/>
        </w:rPr>
        <w:t xml:space="preserve"> service </w:t>
      </w:r>
      <w:r w:rsidRPr="00BB5BDE">
        <w:rPr>
          <w:rFonts w:ascii="Tahoma" w:hAnsi="Tahoma" w:cs="Tahoma"/>
          <w:color w:val="000000"/>
          <w:sz w:val="22"/>
          <w:szCs w:val="22"/>
        </w:rPr>
        <w:t>packages.</w:t>
      </w:r>
    </w:p>
    <w:p w14:paraId="1BC1A2F3" w14:textId="6E1B08EA" w:rsidR="0075203B" w:rsidRDefault="0075203B" w:rsidP="0075203B">
      <w:pPr>
        <w:pStyle w:val="ListParagraph"/>
        <w:numPr>
          <w:ilvl w:val="0"/>
          <w:numId w:val="2"/>
        </w:numPr>
        <w:autoSpaceDE w:val="0"/>
        <w:autoSpaceDN w:val="0"/>
        <w:adjustRightInd w:val="0"/>
        <w:spacing w:line="360" w:lineRule="auto"/>
        <w:rPr>
          <w:rFonts w:ascii="Tahoma" w:hAnsi="Tahoma" w:cs="Tahoma"/>
          <w:b/>
          <w:color w:val="000000"/>
          <w:sz w:val="22"/>
          <w:szCs w:val="22"/>
        </w:rPr>
      </w:pPr>
      <w:r>
        <w:rPr>
          <w:rFonts w:ascii="Tahoma" w:hAnsi="Tahoma" w:cs="Tahoma"/>
          <w:b/>
          <w:color w:val="000000"/>
          <w:sz w:val="22"/>
          <w:szCs w:val="22"/>
        </w:rPr>
        <w:t xml:space="preserve">Plains Interne </w:t>
      </w:r>
      <w:proofErr w:type="gramStart"/>
      <w:r>
        <w:rPr>
          <w:rFonts w:ascii="Tahoma" w:hAnsi="Tahoma" w:cs="Tahoma"/>
          <w:b/>
          <w:color w:val="000000"/>
          <w:sz w:val="22"/>
          <w:szCs w:val="22"/>
        </w:rPr>
        <w:t>has the Ability to</w:t>
      </w:r>
      <w:proofErr w:type="gramEnd"/>
      <w:r>
        <w:rPr>
          <w:rFonts w:ascii="Tahoma" w:hAnsi="Tahoma" w:cs="Tahoma"/>
          <w:b/>
          <w:color w:val="000000"/>
          <w:sz w:val="22"/>
          <w:szCs w:val="22"/>
        </w:rPr>
        <w:t xml:space="preserve"> Function in Emergency Situations</w:t>
      </w:r>
    </w:p>
    <w:p w14:paraId="1E31DC24" w14:textId="7B53E16E" w:rsidR="0075203B" w:rsidRPr="0075203B" w:rsidRDefault="0075203B" w:rsidP="0075203B">
      <w:pPr>
        <w:pStyle w:val="ListParagraph"/>
        <w:autoSpaceDE w:val="0"/>
        <w:autoSpaceDN w:val="0"/>
        <w:adjustRightInd w:val="0"/>
        <w:spacing w:line="360" w:lineRule="auto"/>
        <w:ind w:left="420"/>
        <w:rPr>
          <w:rFonts w:ascii="Tahoma" w:hAnsi="Tahoma" w:cs="Tahoma"/>
          <w:color w:val="000000"/>
          <w:sz w:val="22"/>
          <w:szCs w:val="22"/>
        </w:rPr>
      </w:pPr>
      <w:r w:rsidRPr="0075203B">
        <w:rPr>
          <w:rFonts w:ascii="Tahoma" w:hAnsi="Tahoma" w:cs="Tahoma"/>
          <w:color w:val="000000"/>
          <w:sz w:val="22"/>
          <w:szCs w:val="22"/>
        </w:rPr>
        <w:t xml:space="preserve">Plains internet has back-up power </w:t>
      </w:r>
      <w:proofErr w:type="gramStart"/>
      <w:r w:rsidRPr="0075203B">
        <w:rPr>
          <w:rFonts w:ascii="Tahoma" w:hAnsi="Tahoma" w:cs="Tahoma"/>
          <w:color w:val="000000"/>
          <w:sz w:val="22"/>
          <w:szCs w:val="22"/>
        </w:rPr>
        <w:t>sufficient</w:t>
      </w:r>
      <w:proofErr w:type="gramEnd"/>
      <w:r w:rsidRPr="0075203B">
        <w:rPr>
          <w:rFonts w:ascii="Tahoma" w:hAnsi="Tahoma" w:cs="Tahoma"/>
          <w:color w:val="000000"/>
          <w:sz w:val="22"/>
          <w:szCs w:val="22"/>
        </w:rPr>
        <w:t xml:space="preserve"> to ensure functionality</w:t>
      </w:r>
      <w:r>
        <w:rPr>
          <w:rFonts w:ascii="Tahoma" w:hAnsi="Tahoma" w:cs="Tahoma"/>
          <w:color w:val="000000"/>
          <w:sz w:val="22"/>
          <w:szCs w:val="22"/>
        </w:rPr>
        <w:t xml:space="preserve"> in the designated service areas without an external power source and is able to re-route traffic around damaged facilities and is capable of managing traffic spikes resulting from emergency situations. </w:t>
      </w:r>
    </w:p>
    <w:p w14:paraId="40E9E2B5" w14:textId="67AB0548" w:rsidR="001224D7" w:rsidRPr="0075203B" w:rsidRDefault="001224D7" w:rsidP="002C55CE">
      <w:pPr>
        <w:autoSpaceDE w:val="0"/>
        <w:autoSpaceDN w:val="0"/>
        <w:adjustRightInd w:val="0"/>
        <w:spacing w:line="360" w:lineRule="auto"/>
        <w:rPr>
          <w:rFonts w:ascii="Tahoma" w:hAnsi="Tahoma" w:cs="Tahoma"/>
          <w:sz w:val="22"/>
          <w:szCs w:val="22"/>
        </w:rPr>
      </w:pPr>
    </w:p>
    <w:p w14:paraId="26F67898" w14:textId="2915C432" w:rsidR="001224D7" w:rsidRPr="00301DCD" w:rsidRDefault="00301DCD" w:rsidP="00301DCD">
      <w:pPr>
        <w:pStyle w:val="ListParagraph"/>
        <w:autoSpaceDE w:val="0"/>
        <w:autoSpaceDN w:val="0"/>
        <w:adjustRightInd w:val="0"/>
        <w:spacing w:line="360" w:lineRule="auto"/>
        <w:ind w:left="1080"/>
        <w:rPr>
          <w:rFonts w:ascii="Tahoma" w:hAnsi="Tahoma" w:cs="Tahoma"/>
          <w:b/>
          <w:sz w:val="22"/>
          <w:szCs w:val="22"/>
        </w:rPr>
      </w:pPr>
      <w:r>
        <w:rPr>
          <w:rFonts w:ascii="Tahoma" w:hAnsi="Tahoma" w:cs="Tahoma"/>
          <w:b/>
          <w:sz w:val="22"/>
          <w:szCs w:val="22"/>
        </w:rPr>
        <w:t xml:space="preserve">V. </w:t>
      </w:r>
      <w:r w:rsidR="001224D7" w:rsidRPr="00301DCD">
        <w:rPr>
          <w:rFonts w:ascii="Tahoma" w:hAnsi="Tahoma" w:cs="Tahoma"/>
          <w:b/>
          <w:sz w:val="22"/>
          <w:szCs w:val="22"/>
        </w:rPr>
        <w:t xml:space="preserve">Waiver of </w:t>
      </w:r>
      <w:r w:rsidR="00B018AB" w:rsidRPr="00301DCD">
        <w:rPr>
          <w:rFonts w:ascii="Tahoma" w:hAnsi="Tahoma" w:cs="Tahoma"/>
          <w:b/>
          <w:sz w:val="22"/>
          <w:szCs w:val="22"/>
        </w:rPr>
        <w:t>Five-Year</w:t>
      </w:r>
      <w:r w:rsidR="001224D7" w:rsidRPr="00301DCD">
        <w:rPr>
          <w:rFonts w:ascii="Tahoma" w:hAnsi="Tahoma" w:cs="Tahoma"/>
          <w:b/>
          <w:sz w:val="22"/>
          <w:szCs w:val="22"/>
        </w:rPr>
        <w:t xml:space="preserve"> Plan</w:t>
      </w:r>
    </w:p>
    <w:p w14:paraId="4DCF19D1" w14:textId="77777777" w:rsidR="001224D7" w:rsidRPr="001224D7" w:rsidRDefault="001224D7" w:rsidP="001224D7">
      <w:pPr>
        <w:autoSpaceDE w:val="0"/>
        <w:autoSpaceDN w:val="0"/>
        <w:adjustRightInd w:val="0"/>
        <w:spacing w:line="360" w:lineRule="auto"/>
        <w:rPr>
          <w:rFonts w:ascii="Tahoma" w:hAnsi="Tahoma" w:cs="Tahoma"/>
          <w:sz w:val="22"/>
          <w:szCs w:val="22"/>
        </w:rPr>
      </w:pPr>
      <w:r w:rsidRPr="001224D7">
        <w:rPr>
          <w:rFonts w:ascii="Tahoma" w:hAnsi="Tahoma" w:cs="Tahoma"/>
          <w:sz w:val="22"/>
          <w:szCs w:val="22"/>
        </w:rPr>
        <w:t>Under section 54.202 of the Commission’s rules, the Commission adopted additional</w:t>
      </w:r>
    </w:p>
    <w:p w14:paraId="275C063C" w14:textId="55F929FA" w:rsidR="001224D7" w:rsidRPr="001224D7" w:rsidRDefault="001224D7" w:rsidP="001224D7">
      <w:pPr>
        <w:autoSpaceDE w:val="0"/>
        <w:autoSpaceDN w:val="0"/>
        <w:adjustRightInd w:val="0"/>
        <w:spacing w:line="360" w:lineRule="auto"/>
        <w:rPr>
          <w:rFonts w:ascii="Tahoma" w:hAnsi="Tahoma" w:cs="Tahoma"/>
          <w:sz w:val="14"/>
          <w:szCs w:val="14"/>
        </w:rPr>
      </w:pPr>
      <w:r w:rsidRPr="001224D7">
        <w:rPr>
          <w:rFonts w:ascii="Tahoma" w:hAnsi="Tahoma" w:cs="Tahoma"/>
          <w:sz w:val="22"/>
          <w:szCs w:val="22"/>
        </w:rPr>
        <w:lastRenderedPageBreak/>
        <w:t>requirements for parties seeking an FCC ETC designation.</w:t>
      </w:r>
      <w:r>
        <w:rPr>
          <w:rStyle w:val="FootnoteReference"/>
          <w:rFonts w:ascii="Tahoma" w:hAnsi="Tahoma" w:cs="Tahoma"/>
          <w:sz w:val="22"/>
          <w:szCs w:val="22"/>
        </w:rPr>
        <w:footnoteReference w:id="1"/>
      </w:r>
      <w:r w:rsidRPr="001224D7">
        <w:rPr>
          <w:rFonts w:ascii="Tahoma" w:hAnsi="Tahoma" w:cs="Tahoma"/>
          <w:sz w:val="14"/>
          <w:szCs w:val="14"/>
        </w:rPr>
        <w:t xml:space="preserve"> </w:t>
      </w:r>
      <w:r w:rsidRPr="001224D7">
        <w:rPr>
          <w:rFonts w:ascii="Tahoma" w:hAnsi="Tahoma" w:cs="Tahoma"/>
          <w:sz w:val="22"/>
          <w:szCs w:val="22"/>
        </w:rPr>
        <w:t>For example, a petitioner seeking an FCC</w:t>
      </w:r>
      <w:r>
        <w:rPr>
          <w:rFonts w:ascii="Tahoma" w:hAnsi="Tahoma" w:cs="Tahoma"/>
          <w:sz w:val="22"/>
          <w:szCs w:val="22"/>
        </w:rPr>
        <w:t xml:space="preserve"> </w:t>
      </w:r>
      <w:r w:rsidRPr="001224D7">
        <w:rPr>
          <w:rFonts w:ascii="Tahoma" w:hAnsi="Tahoma" w:cs="Tahoma"/>
          <w:sz w:val="22"/>
          <w:szCs w:val="22"/>
        </w:rPr>
        <w:t>ETC designation must submit a five-year improvement plan and a certification committing to implement</w:t>
      </w:r>
      <w:r>
        <w:rPr>
          <w:rFonts w:ascii="Tahoma" w:hAnsi="Tahoma" w:cs="Tahoma"/>
          <w:sz w:val="22"/>
          <w:szCs w:val="22"/>
        </w:rPr>
        <w:t xml:space="preserve"> </w:t>
      </w:r>
      <w:r w:rsidRPr="001224D7">
        <w:rPr>
          <w:rFonts w:ascii="Tahoma" w:hAnsi="Tahoma" w:cs="Tahoma"/>
          <w:sz w:val="22"/>
          <w:szCs w:val="22"/>
        </w:rPr>
        <w:t>consumer protection and customer service standards The</w:t>
      </w:r>
      <w:r>
        <w:rPr>
          <w:rFonts w:ascii="Tahoma" w:hAnsi="Tahoma" w:cs="Tahoma"/>
          <w:sz w:val="22"/>
          <w:szCs w:val="22"/>
        </w:rPr>
        <w:t xml:space="preserve"> </w:t>
      </w:r>
      <w:r w:rsidRPr="001224D7">
        <w:rPr>
          <w:rFonts w:ascii="Tahoma" w:hAnsi="Tahoma" w:cs="Tahoma"/>
          <w:sz w:val="22"/>
          <w:szCs w:val="22"/>
        </w:rPr>
        <w:t>Commission adopted these requirements in 2005, in conjunction with related annual reporting</w:t>
      </w:r>
      <w:r>
        <w:rPr>
          <w:rFonts w:ascii="Tahoma" w:hAnsi="Tahoma" w:cs="Tahoma"/>
          <w:sz w:val="22"/>
          <w:szCs w:val="22"/>
        </w:rPr>
        <w:t xml:space="preserve"> </w:t>
      </w:r>
      <w:r w:rsidRPr="001224D7">
        <w:rPr>
          <w:rFonts w:ascii="Tahoma" w:hAnsi="Tahoma" w:cs="Tahoma"/>
          <w:sz w:val="22"/>
          <w:szCs w:val="22"/>
        </w:rPr>
        <w:t>obligations, to monitor carriers’ use of funding.</w:t>
      </w:r>
    </w:p>
    <w:p w14:paraId="7E95619A" w14:textId="77777777" w:rsidR="001224D7" w:rsidRDefault="001224D7" w:rsidP="001224D7">
      <w:pPr>
        <w:autoSpaceDE w:val="0"/>
        <w:autoSpaceDN w:val="0"/>
        <w:adjustRightInd w:val="0"/>
        <w:spacing w:line="360" w:lineRule="auto"/>
        <w:rPr>
          <w:rFonts w:ascii="Tahoma" w:hAnsi="Tahoma" w:cs="Tahoma"/>
          <w:sz w:val="22"/>
          <w:szCs w:val="22"/>
        </w:rPr>
      </w:pPr>
    </w:p>
    <w:p w14:paraId="0A9B6825" w14:textId="208C6169" w:rsidR="001224D7" w:rsidRPr="001224D7" w:rsidRDefault="001224D7" w:rsidP="00311371">
      <w:pPr>
        <w:autoSpaceDE w:val="0"/>
        <w:autoSpaceDN w:val="0"/>
        <w:adjustRightInd w:val="0"/>
        <w:spacing w:line="360" w:lineRule="auto"/>
        <w:rPr>
          <w:rFonts w:ascii="Tahoma" w:hAnsi="Tahoma" w:cs="Tahoma"/>
          <w:sz w:val="22"/>
          <w:szCs w:val="22"/>
        </w:rPr>
      </w:pPr>
      <w:r w:rsidRPr="001224D7">
        <w:rPr>
          <w:rFonts w:ascii="Tahoma" w:hAnsi="Tahoma" w:cs="Tahoma"/>
          <w:sz w:val="22"/>
          <w:szCs w:val="22"/>
        </w:rPr>
        <w:t>For CAF recipients, however, the Commission adopted more specific measures to track</w:t>
      </w:r>
      <w:r>
        <w:rPr>
          <w:rFonts w:ascii="Tahoma" w:hAnsi="Tahoma" w:cs="Tahoma"/>
          <w:sz w:val="22"/>
          <w:szCs w:val="22"/>
        </w:rPr>
        <w:t xml:space="preserve"> </w:t>
      </w:r>
      <w:r w:rsidRPr="001224D7">
        <w:rPr>
          <w:rFonts w:ascii="Tahoma" w:hAnsi="Tahoma" w:cs="Tahoma"/>
          <w:sz w:val="22"/>
          <w:szCs w:val="22"/>
        </w:rPr>
        <w:t>deployment, including annual reporting of service to geocoded locations and certification of compliance</w:t>
      </w:r>
      <w:r>
        <w:rPr>
          <w:rFonts w:ascii="Tahoma" w:hAnsi="Tahoma" w:cs="Tahoma"/>
          <w:sz w:val="22"/>
          <w:szCs w:val="22"/>
        </w:rPr>
        <w:t xml:space="preserve"> </w:t>
      </w:r>
      <w:r w:rsidRPr="001224D7">
        <w:rPr>
          <w:rFonts w:ascii="Tahoma" w:hAnsi="Tahoma" w:cs="Tahoma"/>
          <w:sz w:val="22"/>
          <w:szCs w:val="22"/>
        </w:rPr>
        <w:t>with benchmark milestones.</w:t>
      </w:r>
      <w:r w:rsidRPr="001224D7">
        <w:rPr>
          <w:rFonts w:ascii="Tahoma" w:hAnsi="Tahoma" w:cs="Tahoma"/>
          <w:sz w:val="14"/>
          <w:szCs w:val="14"/>
        </w:rPr>
        <w:t xml:space="preserve"> </w:t>
      </w:r>
      <w:r w:rsidRPr="001224D7">
        <w:rPr>
          <w:rFonts w:ascii="Tahoma" w:hAnsi="Tahoma" w:cs="Tahoma"/>
          <w:sz w:val="22"/>
          <w:szCs w:val="22"/>
        </w:rPr>
        <w:t>For this reason, the Commission eliminated the five-year improvement</w:t>
      </w:r>
      <w:r>
        <w:rPr>
          <w:rFonts w:ascii="Tahoma" w:hAnsi="Tahoma" w:cs="Tahoma"/>
          <w:sz w:val="22"/>
          <w:szCs w:val="22"/>
        </w:rPr>
        <w:t xml:space="preserve"> </w:t>
      </w:r>
      <w:r w:rsidRPr="001224D7">
        <w:rPr>
          <w:rFonts w:ascii="Tahoma" w:hAnsi="Tahoma" w:cs="Tahoma"/>
          <w:sz w:val="22"/>
          <w:szCs w:val="22"/>
        </w:rPr>
        <w:t>plan requirement for price-cap and rate-of-return carriers and for recipients of funding under the rural broadband experiments.</w:t>
      </w:r>
      <w:r w:rsidR="00BE3420">
        <w:rPr>
          <w:rStyle w:val="FootnoteReference"/>
          <w:rFonts w:ascii="Tahoma" w:hAnsi="Tahoma" w:cs="Tahoma"/>
          <w:sz w:val="22"/>
          <w:szCs w:val="22"/>
        </w:rPr>
        <w:footnoteReference w:id="2"/>
      </w:r>
      <w:r w:rsidRPr="001224D7">
        <w:rPr>
          <w:rFonts w:ascii="Tahoma" w:hAnsi="Tahoma" w:cs="Tahoma"/>
          <w:sz w:val="14"/>
          <w:szCs w:val="14"/>
        </w:rPr>
        <w:t xml:space="preserve"> </w:t>
      </w:r>
      <w:r w:rsidRPr="001224D7">
        <w:rPr>
          <w:rFonts w:ascii="Tahoma" w:hAnsi="Tahoma" w:cs="Tahoma"/>
          <w:sz w:val="22"/>
          <w:szCs w:val="22"/>
        </w:rPr>
        <w:t>The Commission also eliminated, for all CAF recipients, the annual reporting</w:t>
      </w:r>
      <w:r>
        <w:rPr>
          <w:rFonts w:ascii="Tahoma" w:hAnsi="Tahoma" w:cs="Tahoma"/>
          <w:sz w:val="22"/>
          <w:szCs w:val="22"/>
        </w:rPr>
        <w:t xml:space="preserve"> </w:t>
      </w:r>
      <w:r w:rsidRPr="001224D7">
        <w:rPr>
          <w:rFonts w:ascii="Tahoma" w:hAnsi="Tahoma" w:cs="Tahoma"/>
          <w:sz w:val="22"/>
          <w:szCs w:val="22"/>
        </w:rPr>
        <w:t>obligations associated with both the five-year improvement plan and the consumer protection</w:t>
      </w:r>
      <w:r w:rsidR="00311371">
        <w:rPr>
          <w:rFonts w:ascii="Tahoma" w:hAnsi="Tahoma" w:cs="Tahoma"/>
          <w:sz w:val="22"/>
          <w:szCs w:val="22"/>
        </w:rPr>
        <w:t xml:space="preserve"> </w:t>
      </w:r>
      <w:r w:rsidRPr="001224D7">
        <w:rPr>
          <w:rFonts w:ascii="Tahoma" w:hAnsi="Tahoma" w:cs="Tahoma"/>
          <w:sz w:val="22"/>
          <w:szCs w:val="22"/>
        </w:rPr>
        <w:t>certification, after determining that such obligations were no longer essential to the Commission’s ability</w:t>
      </w:r>
    </w:p>
    <w:p w14:paraId="2C5C5EEE" w14:textId="3B23B835" w:rsidR="001224D7" w:rsidRPr="00BE3420" w:rsidRDefault="001224D7" w:rsidP="00BE3420">
      <w:pPr>
        <w:autoSpaceDE w:val="0"/>
        <w:autoSpaceDN w:val="0"/>
        <w:adjustRightInd w:val="0"/>
        <w:spacing w:line="360" w:lineRule="auto"/>
        <w:rPr>
          <w:rFonts w:ascii="Tahoma" w:hAnsi="Tahoma" w:cs="Tahoma"/>
          <w:b/>
          <w:sz w:val="22"/>
          <w:szCs w:val="22"/>
        </w:rPr>
      </w:pPr>
      <w:r w:rsidRPr="00BE3420">
        <w:rPr>
          <w:rFonts w:ascii="Tahoma" w:hAnsi="Tahoma" w:cs="Tahoma"/>
          <w:sz w:val="22"/>
          <w:szCs w:val="22"/>
        </w:rPr>
        <w:t>to monitor ETC use of support for its intended purpose.</w:t>
      </w:r>
      <w:r w:rsidR="00BE3420">
        <w:rPr>
          <w:rFonts w:ascii="Tahoma" w:hAnsi="Tahoma" w:cs="Tahoma"/>
          <w:sz w:val="14"/>
          <w:szCs w:val="14"/>
        </w:rPr>
        <w:t xml:space="preserve"> </w:t>
      </w:r>
      <w:r w:rsidRPr="00BE3420">
        <w:rPr>
          <w:rFonts w:ascii="Tahoma" w:hAnsi="Tahoma" w:cs="Tahoma"/>
          <w:sz w:val="22"/>
          <w:szCs w:val="22"/>
        </w:rPr>
        <w:t xml:space="preserve">Consistent with these decisions, </w:t>
      </w:r>
      <w:r w:rsidR="00D64142">
        <w:rPr>
          <w:rFonts w:ascii="Tahoma" w:hAnsi="Tahoma" w:cs="Tahoma"/>
          <w:sz w:val="22"/>
          <w:szCs w:val="22"/>
        </w:rPr>
        <w:t>the Commission found</w:t>
      </w:r>
      <w:r w:rsidRPr="00BE3420">
        <w:rPr>
          <w:rFonts w:ascii="Tahoma" w:hAnsi="Tahoma" w:cs="Tahoma"/>
          <w:sz w:val="22"/>
          <w:szCs w:val="22"/>
        </w:rPr>
        <w:t xml:space="preserve"> good</w:t>
      </w:r>
      <w:r w:rsidR="00BE3420">
        <w:rPr>
          <w:rFonts w:ascii="Tahoma" w:hAnsi="Tahoma" w:cs="Tahoma"/>
          <w:sz w:val="22"/>
          <w:szCs w:val="22"/>
        </w:rPr>
        <w:t xml:space="preserve"> </w:t>
      </w:r>
      <w:r w:rsidRPr="00BE3420">
        <w:rPr>
          <w:rFonts w:ascii="Tahoma" w:hAnsi="Tahoma" w:cs="Tahoma"/>
          <w:sz w:val="22"/>
          <w:szCs w:val="22"/>
        </w:rPr>
        <w:t xml:space="preserve">cause to waive, on </w:t>
      </w:r>
      <w:r w:rsidR="00D64142">
        <w:rPr>
          <w:rFonts w:ascii="Tahoma" w:hAnsi="Tahoma" w:cs="Tahoma"/>
          <w:sz w:val="22"/>
          <w:szCs w:val="22"/>
        </w:rPr>
        <w:t>their</w:t>
      </w:r>
      <w:r w:rsidRPr="00BE3420">
        <w:rPr>
          <w:rFonts w:ascii="Tahoma" w:hAnsi="Tahoma" w:cs="Tahoma"/>
          <w:sz w:val="22"/>
          <w:szCs w:val="22"/>
        </w:rPr>
        <w:t xml:space="preserve"> own motion, the requirement that winning bidders seeking an FCC ETC</w:t>
      </w:r>
      <w:r w:rsidR="00BE3420">
        <w:rPr>
          <w:rFonts w:ascii="Tahoma" w:hAnsi="Tahoma" w:cs="Tahoma"/>
          <w:sz w:val="22"/>
          <w:szCs w:val="22"/>
        </w:rPr>
        <w:t xml:space="preserve"> </w:t>
      </w:r>
      <w:r w:rsidRPr="00BE3420">
        <w:rPr>
          <w:rFonts w:ascii="Tahoma" w:hAnsi="Tahoma" w:cs="Tahoma"/>
          <w:sz w:val="22"/>
          <w:szCs w:val="22"/>
        </w:rPr>
        <w:t>designation file a five-year improvement plan and demonstrate that it will satisfy applicable consumer</w:t>
      </w:r>
      <w:r w:rsidR="00BE3420">
        <w:rPr>
          <w:rFonts w:ascii="Tahoma" w:hAnsi="Tahoma" w:cs="Tahoma"/>
          <w:sz w:val="22"/>
          <w:szCs w:val="22"/>
        </w:rPr>
        <w:t xml:space="preserve"> </w:t>
      </w:r>
      <w:r w:rsidR="00BE3420" w:rsidRPr="00BE3420">
        <w:rPr>
          <w:rFonts w:ascii="Tahoma" w:hAnsi="Tahoma" w:cs="Tahoma"/>
          <w:sz w:val="22"/>
          <w:szCs w:val="22"/>
        </w:rPr>
        <w:t>protection and service quality standards</w:t>
      </w:r>
      <w:r w:rsidR="00BE3420">
        <w:rPr>
          <w:rFonts w:ascii="Tahoma" w:hAnsi="Tahoma" w:cs="Tahoma"/>
          <w:sz w:val="22"/>
          <w:szCs w:val="22"/>
        </w:rPr>
        <w:t>.</w:t>
      </w:r>
      <w:r w:rsidR="00D64142">
        <w:rPr>
          <w:rStyle w:val="FootnoteReference"/>
          <w:rFonts w:ascii="Tahoma" w:hAnsi="Tahoma" w:cs="Tahoma"/>
          <w:sz w:val="22"/>
          <w:szCs w:val="22"/>
        </w:rPr>
        <w:footnoteReference w:id="3"/>
      </w:r>
    </w:p>
    <w:p w14:paraId="57279238" w14:textId="77777777" w:rsidR="001224D7" w:rsidRPr="00BE3420" w:rsidRDefault="001224D7" w:rsidP="002C55CE">
      <w:pPr>
        <w:autoSpaceDE w:val="0"/>
        <w:autoSpaceDN w:val="0"/>
        <w:adjustRightInd w:val="0"/>
        <w:spacing w:line="360" w:lineRule="auto"/>
        <w:rPr>
          <w:rFonts w:ascii="Tahoma" w:hAnsi="Tahoma" w:cs="Tahoma"/>
          <w:b/>
          <w:sz w:val="22"/>
          <w:szCs w:val="22"/>
        </w:rPr>
      </w:pPr>
    </w:p>
    <w:p w14:paraId="21D07EEE" w14:textId="56A24295" w:rsidR="001224D7" w:rsidRDefault="001224D7" w:rsidP="002C55CE">
      <w:pPr>
        <w:autoSpaceDE w:val="0"/>
        <w:autoSpaceDN w:val="0"/>
        <w:adjustRightInd w:val="0"/>
        <w:spacing w:line="360" w:lineRule="auto"/>
        <w:rPr>
          <w:rFonts w:ascii="Tahoma" w:hAnsi="Tahoma" w:cs="Tahoma"/>
          <w:b/>
          <w:sz w:val="22"/>
          <w:szCs w:val="22"/>
        </w:rPr>
      </w:pPr>
    </w:p>
    <w:p w14:paraId="29E12AF7" w14:textId="3A9F987A" w:rsidR="001224D7" w:rsidRDefault="004131EA" w:rsidP="002C55CE">
      <w:pPr>
        <w:autoSpaceDE w:val="0"/>
        <w:autoSpaceDN w:val="0"/>
        <w:adjustRightInd w:val="0"/>
        <w:spacing w:line="360" w:lineRule="auto"/>
        <w:rPr>
          <w:rFonts w:ascii="Tahoma" w:hAnsi="Tahoma" w:cs="Tahoma"/>
          <w:sz w:val="22"/>
          <w:szCs w:val="22"/>
        </w:rPr>
      </w:pPr>
      <w:r w:rsidRPr="004131EA">
        <w:rPr>
          <w:rFonts w:ascii="Tahoma" w:hAnsi="Tahoma" w:cs="Tahoma"/>
          <w:sz w:val="22"/>
          <w:szCs w:val="22"/>
        </w:rPr>
        <w:t>Plains internet will continue</w:t>
      </w:r>
      <w:r>
        <w:rPr>
          <w:rFonts w:ascii="Tahoma" w:hAnsi="Tahoma" w:cs="Tahoma"/>
          <w:sz w:val="22"/>
          <w:szCs w:val="22"/>
        </w:rPr>
        <w:t xml:space="preserve"> to meet all other requirements of section 54.202 of the Commission’s rules,i.e., Plains Internet will (1) certify its commitment to meeting the service and performance requirements applicable to the High Cost support;</w:t>
      </w:r>
      <w:r>
        <w:rPr>
          <w:rStyle w:val="FootnoteReference"/>
          <w:rFonts w:ascii="Tahoma" w:hAnsi="Tahoma" w:cs="Tahoma"/>
          <w:sz w:val="22"/>
          <w:szCs w:val="22"/>
        </w:rPr>
        <w:footnoteReference w:id="4"/>
      </w:r>
      <w:r>
        <w:rPr>
          <w:rFonts w:ascii="Tahoma" w:hAnsi="Tahoma" w:cs="Tahoma"/>
          <w:sz w:val="22"/>
          <w:szCs w:val="22"/>
        </w:rPr>
        <w:t xml:space="preserve"> and  (2) demonstrate our ability to remain functional in emergency situations.</w:t>
      </w:r>
      <w:r>
        <w:rPr>
          <w:rStyle w:val="FootnoteReference"/>
          <w:rFonts w:ascii="Tahoma" w:hAnsi="Tahoma" w:cs="Tahoma"/>
          <w:sz w:val="22"/>
          <w:szCs w:val="22"/>
        </w:rPr>
        <w:footnoteReference w:id="5"/>
      </w:r>
    </w:p>
    <w:p w14:paraId="17A94A81" w14:textId="549BE398" w:rsidR="004131EA" w:rsidRDefault="004131EA" w:rsidP="002C55CE">
      <w:pPr>
        <w:autoSpaceDE w:val="0"/>
        <w:autoSpaceDN w:val="0"/>
        <w:adjustRightInd w:val="0"/>
        <w:spacing w:line="360" w:lineRule="auto"/>
        <w:rPr>
          <w:rFonts w:ascii="Tahoma" w:hAnsi="Tahoma" w:cs="Tahoma"/>
          <w:sz w:val="22"/>
          <w:szCs w:val="22"/>
        </w:rPr>
      </w:pPr>
    </w:p>
    <w:p w14:paraId="7B7728EA" w14:textId="6B16130D" w:rsidR="004131EA" w:rsidRDefault="0075203B" w:rsidP="002C55CE">
      <w:pPr>
        <w:autoSpaceDE w:val="0"/>
        <w:autoSpaceDN w:val="0"/>
        <w:adjustRightInd w:val="0"/>
        <w:spacing w:line="360" w:lineRule="auto"/>
        <w:rPr>
          <w:rFonts w:ascii="Tahoma" w:hAnsi="Tahoma" w:cs="Tahoma"/>
          <w:b/>
          <w:sz w:val="22"/>
          <w:szCs w:val="22"/>
        </w:rPr>
      </w:pPr>
      <w:r>
        <w:rPr>
          <w:rFonts w:ascii="Tahoma" w:hAnsi="Tahoma" w:cs="Tahoma"/>
          <w:b/>
          <w:sz w:val="22"/>
          <w:szCs w:val="22"/>
        </w:rPr>
        <w:t xml:space="preserve">VI. </w:t>
      </w:r>
      <w:r w:rsidR="004131EA" w:rsidRPr="00B11F92">
        <w:rPr>
          <w:rFonts w:ascii="Tahoma" w:hAnsi="Tahoma" w:cs="Tahoma"/>
          <w:b/>
          <w:sz w:val="22"/>
          <w:szCs w:val="22"/>
        </w:rPr>
        <w:t xml:space="preserve">ETC Designation Serves the Public Interest, </w:t>
      </w:r>
      <w:r w:rsidR="00B11F92" w:rsidRPr="00B11F92">
        <w:rPr>
          <w:rFonts w:ascii="Tahoma" w:hAnsi="Tahoma" w:cs="Tahoma"/>
          <w:b/>
          <w:sz w:val="22"/>
          <w:szCs w:val="22"/>
        </w:rPr>
        <w:t>C</w:t>
      </w:r>
      <w:r w:rsidR="004131EA" w:rsidRPr="00B11F92">
        <w:rPr>
          <w:rFonts w:ascii="Tahoma" w:hAnsi="Tahoma" w:cs="Tahoma"/>
          <w:b/>
          <w:sz w:val="22"/>
          <w:szCs w:val="22"/>
        </w:rPr>
        <w:t>onvenience and Nec</w:t>
      </w:r>
      <w:r w:rsidR="00B11F92" w:rsidRPr="00B11F92">
        <w:rPr>
          <w:rFonts w:ascii="Tahoma" w:hAnsi="Tahoma" w:cs="Tahoma"/>
          <w:b/>
          <w:sz w:val="22"/>
          <w:szCs w:val="22"/>
        </w:rPr>
        <w:t>essity</w:t>
      </w:r>
    </w:p>
    <w:p w14:paraId="1A8BDFF5" w14:textId="031B88C2" w:rsidR="00B11F92" w:rsidRDefault="00B11F92" w:rsidP="002C55CE">
      <w:pPr>
        <w:autoSpaceDE w:val="0"/>
        <w:autoSpaceDN w:val="0"/>
        <w:adjustRightInd w:val="0"/>
        <w:spacing w:line="360" w:lineRule="auto"/>
        <w:rPr>
          <w:rFonts w:ascii="Tahoma" w:hAnsi="Tahoma" w:cs="Tahoma"/>
          <w:b/>
          <w:sz w:val="22"/>
          <w:szCs w:val="22"/>
        </w:rPr>
      </w:pPr>
    </w:p>
    <w:p w14:paraId="4B5C506D" w14:textId="5EC27B60" w:rsidR="00B11F92" w:rsidRPr="00B018AB" w:rsidRDefault="00B11F92" w:rsidP="00B11F92">
      <w:pPr>
        <w:autoSpaceDE w:val="0"/>
        <w:autoSpaceDN w:val="0"/>
        <w:adjustRightInd w:val="0"/>
        <w:spacing w:line="360" w:lineRule="auto"/>
        <w:rPr>
          <w:rFonts w:ascii="Tahoma" w:hAnsi="Tahoma" w:cs="Tahoma"/>
          <w:color w:val="000000"/>
          <w:sz w:val="22"/>
          <w:szCs w:val="22"/>
        </w:rPr>
      </w:pPr>
      <w:r w:rsidRPr="00B018AB">
        <w:rPr>
          <w:rFonts w:ascii="Tahoma" w:hAnsi="Tahoma" w:cs="Tahoma"/>
          <w:color w:val="000000"/>
          <w:sz w:val="22"/>
          <w:szCs w:val="22"/>
        </w:rPr>
        <w:t xml:space="preserve">Currently, Plains Internet serves the telecommunications needs of consumers in Texas, and through its proposed CAF II offering, Plains Internet plans to expand its business in Texas by making available to consumers a new, more affordable service offering that meets their basic and advanced communication needs </w:t>
      </w:r>
    </w:p>
    <w:p w14:paraId="70D6C6B7" w14:textId="111BB8D9" w:rsidR="00B11F92" w:rsidRPr="00B018AB" w:rsidRDefault="00B11F92" w:rsidP="00B018AB">
      <w:pPr>
        <w:autoSpaceDE w:val="0"/>
        <w:autoSpaceDN w:val="0"/>
        <w:adjustRightInd w:val="0"/>
        <w:spacing w:line="360" w:lineRule="auto"/>
        <w:rPr>
          <w:rFonts w:ascii="Tahoma" w:hAnsi="Tahoma" w:cs="Tahoma"/>
          <w:color w:val="000000"/>
          <w:sz w:val="22"/>
          <w:szCs w:val="22"/>
        </w:rPr>
      </w:pPr>
      <w:r w:rsidRPr="00B018AB">
        <w:rPr>
          <w:rFonts w:ascii="Tahoma" w:hAnsi="Tahoma" w:cs="Tahoma"/>
          <w:color w:val="000000"/>
          <w:sz w:val="22"/>
          <w:szCs w:val="22"/>
        </w:rPr>
        <w:t>Designating Plains Internet as a</w:t>
      </w:r>
      <w:r w:rsidR="00E66402" w:rsidRPr="00B018AB">
        <w:rPr>
          <w:rFonts w:ascii="Tahoma" w:hAnsi="Tahoma" w:cs="Tahoma"/>
          <w:color w:val="000000"/>
          <w:sz w:val="22"/>
          <w:szCs w:val="22"/>
        </w:rPr>
        <w:t>n</w:t>
      </w:r>
      <w:r w:rsidRPr="00B018AB">
        <w:rPr>
          <w:rFonts w:ascii="Tahoma" w:hAnsi="Tahoma" w:cs="Tahoma"/>
          <w:color w:val="000000"/>
          <w:sz w:val="22"/>
          <w:szCs w:val="22"/>
        </w:rPr>
        <w:t xml:space="preserve"> ETC will bring important public interest benefits. The designation will allow a regional facilities-based service provider to</w:t>
      </w:r>
      <w:r w:rsidRPr="00B11F92">
        <w:rPr>
          <w:rFonts w:ascii="Tahoma" w:hAnsi="Tahoma" w:cs="Tahoma"/>
          <w:color w:val="000000"/>
        </w:rPr>
        <w:t xml:space="preserve"> </w:t>
      </w:r>
      <w:r w:rsidR="00E66402" w:rsidRPr="00B018AB">
        <w:rPr>
          <w:rFonts w:ascii="Tahoma" w:hAnsi="Tahoma" w:cs="Tahoma"/>
          <w:color w:val="000000"/>
          <w:sz w:val="22"/>
          <w:szCs w:val="22"/>
        </w:rPr>
        <w:t>expand the</w:t>
      </w:r>
      <w:r w:rsidRPr="00B018AB">
        <w:rPr>
          <w:rFonts w:ascii="Tahoma" w:hAnsi="Tahoma" w:cs="Tahoma"/>
          <w:color w:val="000000"/>
          <w:sz w:val="22"/>
          <w:szCs w:val="22"/>
        </w:rPr>
        <w:t xml:space="preserve"> market in Texas. This will place significant competitive pressure on other providers, to the benefit of consumers and </w:t>
      </w:r>
      <w:r w:rsidR="00E66402" w:rsidRPr="00B018AB">
        <w:rPr>
          <w:rFonts w:ascii="Tahoma" w:hAnsi="Tahoma" w:cs="Tahoma"/>
          <w:color w:val="000000"/>
          <w:sz w:val="22"/>
          <w:szCs w:val="22"/>
        </w:rPr>
        <w:t xml:space="preserve">CAF II </w:t>
      </w:r>
      <w:r w:rsidR="0087381F" w:rsidRPr="00B018AB">
        <w:rPr>
          <w:rFonts w:ascii="Tahoma" w:hAnsi="Tahoma" w:cs="Tahoma"/>
          <w:color w:val="000000"/>
          <w:sz w:val="22"/>
          <w:szCs w:val="22"/>
        </w:rPr>
        <w:t>program</w:t>
      </w:r>
      <w:r w:rsidRPr="00B018AB">
        <w:rPr>
          <w:rFonts w:ascii="Tahoma" w:hAnsi="Tahoma" w:cs="Tahoma"/>
          <w:color w:val="000000"/>
          <w:sz w:val="22"/>
          <w:szCs w:val="22"/>
        </w:rPr>
        <w:t>. The</w:t>
      </w:r>
      <w:r w:rsidR="007E5F38">
        <w:rPr>
          <w:rFonts w:ascii="Tahoma" w:hAnsi="Tahoma" w:cs="Tahoma"/>
          <w:color w:val="000000"/>
          <w:sz w:val="22"/>
          <w:szCs w:val="22"/>
        </w:rPr>
        <w:t xml:space="preserve"> </w:t>
      </w:r>
      <w:r w:rsidRPr="00B018AB">
        <w:rPr>
          <w:rFonts w:ascii="Tahoma" w:hAnsi="Tahoma" w:cs="Tahoma"/>
          <w:color w:val="000000"/>
          <w:sz w:val="22"/>
          <w:szCs w:val="22"/>
        </w:rPr>
        <w:t>benefits to consumers will be significant and include: (i) greater customer choice;</w:t>
      </w:r>
      <w:r w:rsidR="007E5F38">
        <w:rPr>
          <w:rFonts w:ascii="Tahoma" w:hAnsi="Tahoma" w:cs="Tahoma"/>
          <w:color w:val="000000"/>
          <w:sz w:val="22"/>
          <w:szCs w:val="22"/>
        </w:rPr>
        <w:t xml:space="preserve"> </w:t>
      </w:r>
      <w:r w:rsidRPr="00B018AB">
        <w:rPr>
          <w:rFonts w:ascii="Tahoma" w:hAnsi="Tahoma" w:cs="Tahoma"/>
          <w:color w:val="000000"/>
          <w:sz w:val="22"/>
          <w:szCs w:val="22"/>
        </w:rPr>
        <w:t>(ii) a new, facilities-based service offering with competitive pricing, services, and</w:t>
      </w:r>
      <w:r w:rsidR="007E5F38">
        <w:rPr>
          <w:rFonts w:ascii="Tahoma" w:hAnsi="Tahoma" w:cs="Tahoma"/>
          <w:color w:val="000000"/>
          <w:sz w:val="22"/>
          <w:szCs w:val="22"/>
        </w:rPr>
        <w:t xml:space="preserve"> </w:t>
      </w:r>
      <w:bookmarkStart w:id="0" w:name="_GoBack"/>
      <w:bookmarkEnd w:id="0"/>
      <w:r w:rsidRPr="00B018AB">
        <w:rPr>
          <w:rFonts w:ascii="Tahoma" w:hAnsi="Tahoma" w:cs="Tahoma"/>
          <w:color w:val="000000"/>
          <w:sz w:val="22"/>
          <w:szCs w:val="22"/>
        </w:rPr>
        <w:t>features; (iii) continued contribution to the economy through Plains Internets facilities and</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employment; and (iv) access to a region wide network and quality, broadband services. The</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 xml:space="preserve">benefits of competition are widely recognized and extend to all markets, </w:t>
      </w:r>
      <w:r w:rsidR="00E66402" w:rsidRPr="00B018AB">
        <w:rPr>
          <w:rFonts w:ascii="Tahoma" w:hAnsi="Tahoma" w:cs="Tahoma"/>
          <w:color w:val="000000"/>
          <w:sz w:val="22"/>
          <w:szCs w:val="22"/>
        </w:rPr>
        <w:t xml:space="preserve">CAFII </w:t>
      </w:r>
      <w:r w:rsidRPr="00B018AB">
        <w:rPr>
          <w:rFonts w:ascii="Tahoma" w:hAnsi="Tahoma" w:cs="Tahoma"/>
          <w:color w:val="000000"/>
          <w:sz w:val="22"/>
          <w:szCs w:val="22"/>
        </w:rPr>
        <w:t>universal service market, as recognized by the FCC: The additional choice and service</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options of another broadband [carrier] represents a</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significant benefit for consumers and is in the public interest. A new entrant should incent</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 xml:space="preserve">existing broadband ETC’s to offer better service and terms to their customers. </w:t>
      </w:r>
      <w:r w:rsidR="00E66402" w:rsidRPr="00B018AB">
        <w:rPr>
          <w:rFonts w:ascii="Tahoma" w:hAnsi="Tahoma" w:cs="Tahoma"/>
          <w:color w:val="000000"/>
          <w:sz w:val="22"/>
          <w:szCs w:val="22"/>
        </w:rPr>
        <w:t>C</w:t>
      </w:r>
      <w:r w:rsidRPr="00B018AB">
        <w:rPr>
          <w:rFonts w:ascii="Tahoma" w:hAnsi="Tahoma" w:cs="Tahoma"/>
          <w:color w:val="000000"/>
          <w:sz w:val="22"/>
          <w:szCs w:val="22"/>
        </w:rPr>
        <w:t>onsumers increasingly rely on wireless broadband services for their entire telecommunications</w:t>
      </w:r>
      <w:r w:rsidR="00B018AB">
        <w:rPr>
          <w:rFonts w:ascii="Tahoma" w:hAnsi="Tahoma" w:cs="Tahoma"/>
          <w:color w:val="000000"/>
          <w:sz w:val="22"/>
          <w:szCs w:val="22"/>
        </w:rPr>
        <w:t xml:space="preserve"> </w:t>
      </w:r>
      <w:r w:rsidRPr="00B018AB">
        <w:rPr>
          <w:rFonts w:ascii="Tahoma" w:hAnsi="Tahoma" w:cs="Tahoma"/>
          <w:color w:val="000000"/>
          <w:sz w:val="22"/>
          <w:szCs w:val="22"/>
        </w:rPr>
        <w:t>needs.</w:t>
      </w:r>
    </w:p>
    <w:p w14:paraId="54ED589D" w14:textId="6FC3AC58" w:rsidR="00B11F92" w:rsidRPr="00B018AB" w:rsidRDefault="00B11F92" w:rsidP="00B018AB">
      <w:pPr>
        <w:autoSpaceDE w:val="0"/>
        <w:autoSpaceDN w:val="0"/>
        <w:adjustRightInd w:val="0"/>
        <w:spacing w:line="360" w:lineRule="auto"/>
        <w:rPr>
          <w:rFonts w:ascii="Tahoma" w:hAnsi="Tahoma" w:cs="Tahoma"/>
          <w:color w:val="000000"/>
          <w:sz w:val="22"/>
          <w:szCs w:val="22"/>
        </w:rPr>
      </w:pPr>
      <w:r w:rsidRPr="00B018AB">
        <w:rPr>
          <w:rFonts w:ascii="Tahoma" w:hAnsi="Tahoma" w:cs="Tahoma"/>
          <w:color w:val="000000"/>
          <w:sz w:val="22"/>
          <w:szCs w:val="22"/>
        </w:rPr>
        <w:lastRenderedPageBreak/>
        <w:t>Plains Internets designation as an ETC will result in</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consumers having greater access to wireless broadband telecommunications services,</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particularly from facilities-based carriers, thereby advancing the basic goal of preserving and</w:t>
      </w:r>
    </w:p>
    <w:p w14:paraId="1FFE9ACC" w14:textId="3F4B03F7" w:rsidR="00B11F92" w:rsidRPr="00B018AB" w:rsidRDefault="00B11F92" w:rsidP="00B018AB">
      <w:pPr>
        <w:autoSpaceDE w:val="0"/>
        <w:autoSpaceDN w:val="0"/>
        <w:adjustRightInd w:val="0"/>
        <w:spacing w:line="360" w:lineRule="auto"/>
        <w:rPr>
          <w:rFonts w:ascii="Tahoma" w:hAnsi="Tahoma" w:cs="Tahoma"/>
          <w:color w:val="000000"/>
          <w:sz w:val="22"/>
          <w:szCs w:val="22"/>
        </w:rPr>
      </w:pPr>
      <w:r w:rsidRPr="00B018AB">
        <w:rPr>
          <w:rFonts w:ascii="Tahoma" w:hAnsi="Tahoma" w:cs="Tahoma"/>
          <w:color w:val="000000"/>
          <w:sz w:val="22"/>
          <w:szCs w:val="22"/>
        </w:rPr>
        <w:t>advancing universal service.</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 xml:space="preserve">Plains Internets </w:t>
      </w:r>
      <w:r w:rsidR="00E66402" w:rsidRPr="00B018AB">
        <w:rPr>
          <w:rFonts w:ascii="Tahoma" w:hAnsi="Tahoma" w:cs="Tahoma"/>
          <w:color w:val="000000"/>
          <w:sz w:val="22"/>
          <w:szCs w:val="22"/>
        </w:rPr>
        <w:t>p</w:t>
      </w:r>
      <w:r w:rsidRPr="00B018AB">
        <w:rPr>
          <w:rFonts w:ascii="Tahoma" w:hAnsi="Tahoma" w:cs="Tahoma"/>
          <w:color w:val="000000"/>
          <w:sz w:val="22"/>
          <w:szCs w:val="22"/>
        </w:rPr>
        <w:t>lan allows customers to control costs by receiving a preset</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monthly rate with unlimited data. The wireless broadband services that Plains Internet offers will</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provide customers with an affordable alternative to traditional telecommunications service. Plains</w:t>
      </w:r>
    </w:p>
    <w:p w14:paraId="525AAFC7" w14:textId="21D52EA8" w:rsidR="00B11F92" w:rsidRPr="00B018AB" w:rsidRDefault="00B11F92" w:rsidP="00B018AB">
      <w:pPr>
        <w:autoSpaceDE w:val="0"/>
        <w:autoSpaceDN w:val="0"/>
        <w:adjustRightInd w:val="0"/>
        <w:spacing w:line="360" w:lineRule="auto"/>
        <w:rPr>
          <w:rFonts w:ascii="Tahoma" w:hAnsi="Tahoma" w:cs="Tahoma"/>
          <w:color w:val="000000"/>
          <w:sz w:val="22"/>
          <w:szCs w:val="22"/>
        </w:rPr>
      </w:pPr>
      <w:r w:rsidRPr="00B018AB">
        <w:rPr>
          <w:rFonts w:ascii="Tahoma" w:hAnsi="Tahoma" w:cs="Tahoma"/>
          <w:color w:val="000000"/>
          <w:sz w:val="22"/>
          <w:szCs w:val="22"/>
        </w:rPr>
        <w:t>Internets designation as an ETC will enable the Company to make available competitive</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service offerings to consumers throughout its designated service area. Designating Plains Internet as an</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ETC will provide an additional alternative to the existing service plans currently being offered</w:t>
      </w:r>
      <w:r w:rsidR="00E66402" w:rsidRPr="00B018AB">
        <w:rPr>
          <w:rFonts w:ascii="Tahoma" w:hAnsi="Tahoma" w:cs="Tahoma"/>
          <w:color w:val="000000"/>
          <w:sz w:val="22"/>
          <w:szCs w:val="22"/>
        </w:rPr>
        <w:t xml:space="preserve"> </w:t>
      </w:r>
      <w:r w:rsidRPr="00B018AB">
        <w:rPr>
          <w:rFonts w:ascii="Tahoma" w:hAnsi="Tahoma" w:cs="Tahoma"/>
          <w:color w:val="000000"/>
          <w:sz w:val="22"/>
          <w:szCs w:val="22"/>
        </w:rPr>
        <w:t>and thus will promote competition and advance communication services for the benefit of the residents</w:t>
      </w:r>
    </w:p>
    <w:p w14:paraId="7C165070" w14:textId="1D1EF0AA" w:rsidR="00B11F92" w:rsidRDefault="00B11F92" w:rsidP="00B018AB">
      <w:pPr>
        <w:autoSpaceDE w:val="0"/>
        <w:autoSpaceDN w:val="0"/>
        <w:adjustRightInd w:val="0"/>
        <w:spacing w:line="360" w:lineRule="auto"/>
        <w:rPr>
          <w:rFonts w:ascii="Tahoma" w:hAnsi="Tahoma" w:cs="Tahoma"/>
          <w:color w:val="000000"/>
          <w:sz w:val="22"/>
          <w:szCs w:val="22"/>
        </w:rPr>
      </w:pPr>
      <w:r w:rsidRPr="00B018AB">
        <w:rPr>
          <w:rFonts w:ascii="Tahoma" w:hAnsi="Tahoma" w:cs="Tahoma"/>
          <w:color w:val="000000"/>
          <w:sz w:val="22"/>
          <w:szCs w:val="22"/>
        </w:rPr>
        <w:t>of the</w:t>
      </w:r>
      <w:r w:rsidR="00E66402" w:rsidRPr="00B018AB">
        <w:rPr>
          <w:rFonts w:ascii="Tahoma" w:hAnsi="Tahoma" w:cs="Tahoma"/>
          <w:color w:val="000000"/>
          <w:sz w:val="22"/>
          <w:szCs w:val="22"/>
        </w:rPr>
        <w:t xml:space="preserve"> State of Texas.</w:t>
      </w:r>
      <w:r w:rsidRPr="00B018AB">
        <w:rPr>
          <w:rFonts w:ascii="Tahoma" w:hAnsi="Tahoma" w:cs="Tahoma"/>
          <w:color w:val="000000"/>
          <w:sz w:val="22"/>
          <w:szCs w:val="22"/>
        </w:rPr>
        <w:t xml:space="preserve"> </w:t>
      </w:r>
    </w:p>
    <w:p w14:paraId="470370A4" w14:textId="6A0516F9" w:rsidR="008F49DE" w:rsidRDefault="008F49DE" w:rsidP="00B018AB">
      <w:pPr>
        <w:autoSpaceDE w:val="0"/>
        <w:autoSpaceDN w:val="0"/>
        <w:adjustRightInd w:val="0"/>
        <w:spacing w:line="360" w:lineRule="auto"/>
        <w:rPr>
          <w:rFonts w:ascii="Tahoma" w:hAnsi="Tahoma" w:cs="Tahoma"/>
          <w:color w:val="000000"/>
          <w:sz w:val="22"/>
          <w:szCs w:val="22"/>
        </w:rPr>
      </w:pPr>
    </w:p>
    <w:p w14:paraId="604F2EAA" w14:textId="79491349" w:rsidR="008F49DE" w:rsidRDefault="008F49DE" w:rsidP="00B018AB">
      <w:pPr>
        <w:autoSpaceDE w:val="0"/>
        <w:autoSpaceDN w:val="0"/>
        <w:adjustRightInd w:val="0"/>
        <w:spacing w:line="360" w:lineRule="auto"/>
        <w:rPr>
          <w:rFonts w:ascii="Tahoma" w:hAnsi="Tahoma" w:cs="Tahoma"/>
          <w:b/>
          <w:color w:val="000000"/>
          <w:sz w:val="22"/>
          <w:szCs w:val="22"/>
        </w:rPr>
      </w:pPr>
      <w:r w:rsidRPr="008F49DE">
        <w:rPr>
          <w:rFonts w:ascii="Tahoma" w:hAnsi="Tahoma" w:cs="Tahoma"/>
          <w:b/>
          <w:color w:val="000000"/>
          <w:sz w:val="22"/>
          <w:szCs w:val="22"/>
        </w:rPr>
        <w:t>VII. Certification of Eligibility for Benefits under the Anti-Drug Abuse Act</w:t>
      </w:r>
    </w:p>
    <w:p w14:paraId="028B74AE" w14:textId="1752744C" w:rsidR="008F49DE" w:rsidRPr="008F49DE" w:rsidRDefault="008F49DE" w:rsidP="000C6E78">
      <w:pPr>
        <w:autoSpaceDE w:val="0"/>
        <w:autoSpaceDN w:val="0"/>
        <w:adjustRightInd w:val="0"/>
        <w:spacing w:line="360" w:lineRule="auto"/>
        <w:rPr>
          <w:rFonts w:ascii="Tahoma" w:hAnsi="Tahoma" w:cs="Tahoma"/>
          <w:color w:val="000000"/>
          <w:sz w:val="22"/>
          <w:szCs w:val="22"/>
        </w:rPr>
      </w:pPr>
      <w:r w:rsidRPr="008F49DE">
        <w:rPr>
          <w:rFonts w:ascii="Tahoma" w:hAnsi="Tahoma" w:cs="Tahoma"/>
          <w:color w:val="000000"/>
          <w:sz w:val="22"/>
          <w:szCs w:val="22"/>
        </w:rPr>
        <w:t>Plains Internet certifies that no party to this Petition is subject to denial of federal benefits,</w:t>
      </w:r>
      <w:r>
        <w:rPr>
          <w:rFonts w:ascii="Tahoma" w:hAnsi="Tahoma" w:cs="Tahoma"/>
          <w:color w:val="000000"/>
          <w:sz w:val="22"/>
          <w:szCs w:val="22"/>
        </w:rPr>
        <w:t xml:space="preserve"> </w:t>
      </w:r>
      <w:r w:rsidRPr="008F49DE">
        <w:rPr>
          <w:rFonts w:ascii="Tahoma" w:hAnsi="Tahoma" w:cs="Tahoma"/>
          <w:color w:val="000000"/>
          <w:sz w:val="22"/>
          <w:szCs w:val="22"/>
        </w:rPr>
        <w:t>including FCC benefits, pursuant to Section 5301 of the Anti-Drug Abuse Act of 1988.</w:t>
      </w:r>
      <w:r>
        <w:rPr>
          <w:rStyle w:val="FootnoteReference"/>
          <w:rFonts w:ascii="Tahoma" w:hAnsi="Tahoma" w:cs="Tahoma"/>
          <w:color w:val="000000"/>
          <w:sz w:val="22"/>
          <w:szCs w:val="22"/>
        </w:rPr>
        <w:footnoteReference w:id="6"/>
      </w:r>
    </w:p>
    <w:p w14:paraId="0375C572" w14:textId="71CAB01B" w:rsidR="008F49DE" w:rsidRDefault="008F49DE" w:rsidP="00B018AB">
      <w:pPr>
        <w:autoSpaceDE w:val="0"/>
        <w:autoSpaceDN w:val="0"/>
        <w:adjustRightInd w:val="0"/>
        <w:spacing w:line="360" w:lineRule="auto"/>
        <w:rPr>
          <w:rFonts w:ascii="Tahoma" w:hAnsi="Tahoma" w:cs="Tahoma"/>
          <w:b/>
          <w:color w:val="000000"/>
          <w:sz w:val="22"/>
          <w:szCs w:val="22"/>
        </w:rPr>
      </w:pPr>
    </w:p>
    <w:p w14:paraId="07D2DF2B" w14:textId="239AC1C4" w:rsidR="000C6E78" w:rsidRDefault="000C6E78" w:rsidP="00B018AB">
      <w:pPr>
        <w:autoSpaceDE w:val="0"/>
        <w:autoSpaceDN w:val="0"/>
        <w:adjustRightInd w:val="0"/>
        <w:spacing w:line="360" w:lineRule="auto"/>
        <w:rPr>
          <w:rFonts w:ascii="Tahoma" w:hAnsi="Tahoma" w:cs="Tahoma"/>
          <w:b/>
          <w:bCs/>
          <w:sz w:val="22"/>
          <w:szCs w:val="22"/>
        </w:rPr>
      </w:pPr>
      <w:r>
        <w:rPr>
          <w:rFonts w:ascii="Tahoma" w:hAnsi="Tahoma" w:cs="Tahoma"/>
          <w:b/>
          <w:bCs/>
          <w:sz w:val="22"/>
          <w:szCs w:val="22"/>
        </w:rPr>
        <w:t xml:space="preserve">VIII. </w:t>
      </w:r>
      <w:r w:rsidRPr="000C6E78">
        <w:rPr>
          <w:rFonts w:ascii="Tahoma" w:hAnsi="Tahoma" w:cs="Tahoma"/>
          <w:b/>
          <w:bCs/>
          <w:sz w:val="22"/>
          <w:szCs w:val="22"/>
        </w:rPr>
        <w:t>Post-Designation Reporting Obligations</w:t>
      </w:r>
    </w:p>
    <w:p w14:paraId="03083FA5" w14:textId="621D1F0A" w:rsidR="000C6E78" w:rsidRPr="000C6E78" w:rsidRDefault="000C6E78" w:rsidP="00B018AB">
      <w:pPr>
        <w:autoSpaceDE w:val="0"/>
        <w:autoSpaceDN w:val="0"/>
        <w:adjustRightInd w:val="0"/>
        <w:spacing w:line="360" w:lineRule="auto"/>
        <w:rPr>
          <w:rFonts w:ascii="Tahoma" w:hAnsi="Tahoma" w:cs="Tahoma"/>
          <w:bCs/>
          <w:sz w:val="22"/>
          <w:szCs w:val="22"/>
        </w:rPr>
      </w:pPr>
      <w:r w:rsidRPr="000C6E78">
        <w:rPr>
          <w:rFonts w:ascii="Tahoma" w:hAnsi="Tahoma" w:cs="Tahoma"/>
          <w:bCs/>
          <w:sz w:val="22"/>
          <w:szCs w:val="22"/>
        </w:rPr>
        <w:t>Plains Internet will file on a recurring basis:</w:t>
      </w:r>
    </w:p>
    <w:p w14:paraId="5E4C7473" w14:textId="77777777" w:rsidR="000C6E78" w:rsidRPr="000C6E78" w:rsidRDefault="000C6E78" w:rsidP="00B018AB">
      <w:pPr>
        <w:autoSpaceDE w:val="0"/>
        <w:autoSpaceDN w:val="0"/>
        <w:adjustRightInd w:val="0"/>
        <w:spacing w:line="360" w:lineRule="auto"/>
        <w:rPr>
          <w:rFonts w:ascii="Tahoma" w:hAnsi="Tahoma" w:cs="Tahoma"/>
          <w:bCs/>
          <w:sz w:val="22"/>
          <w:szCs w:val="22"/>
        </w:rPr>
      </w:pPr>
    </w:p>
    <w:p w14:paraId="6A400EE0" w14:textId="77777777" w:rsidR="000C6E78" w:rsidRPr="000C6E78" w:rsidRDefault="000C6E78" w:rsidP="000C6E78">
      <w:pPr>
        <w:autoSpaceDE w:val="0"/>
        <w:autoSpaceDN w:val="0"/>
        <w:adjustRightInd w:val="0"/>
        <w:spacing w:line="360" w:lineRule="auto"/>
        <w:rPr>
          <w:rFonts w:ascii="Tahoma" w:hAnsi="Tahoma" w:cs="Tahoma"/>
          <w:sz w:val="22"/>
          <w:szCs w:val="22"/>
        </w:rPr>
      </w:pPr>
      <w:r w:rsidRPr="00972D83">
        <w:rPr>
          <w:rFonts w:ascii="Tahoma" w:hAnsi="Tahoma" w:cs="Tahoma"/>
          <w:b/>
          <w:i/>
          <w:iCs/>
          <w:sz w:val="22"/>
          <w:szCs w:val="22"/>
        </w:rPr>
        <w:t>Annual Section 54.313 Report</w:t>
      </w:r>
      <w:r w:rsidRPr="000C6E78">
        <w:rPr>
          <w:rFonts w:ascii="Tahoma" w:hAnsi="Tahoma" w:cs="Tahoma"/>
          <w:sz w:val="22"/>
          <w:szCs w:val="22"/>
        </w:rPr>
        <w:t>. On July 1st of the year following the year an ETC begins</w:t>
      </w:r>
    </w:p>
    <w:p w14:paraId="091B79A5" w14:textId="50962A2A" w:rsidR="000C6E78" w:rsidRPr="000C6E78" w:rsidRDefault="000C6E78" w:rsidP="000C6E78">
      <w:pPr>
        <w:autoSpaceDE w:val="0"/>
        <w:autoSpaceDN w:val="0"/>
        <w:adjustRightInd w:val="0"/>
        <w:spacing w:line="360" w:lineRule="auto"/>
        <w:rPr>
          <w:rFonts w:ascii="Tahoma" w:hAnsi="Tahoma" w:cs="Tahoma"/>
          <w:sz w:val="22"/>
          <w:szCs w:val="22"/>
        </w:rPr>
      </w:pPr>
      <w:r w:rsidRPr="000C6E78">
        <w:rPr>
          <w:rFonts w:ascii="Tahoma" w:hAnsi="Tahoma" w:cs="Tahoma"/>
          <w:sz w:val="22"/>
          <w:szCs w:val="22"/>
        </w:rPr>
        <w:t>receiving support and on each subsequent July 1st thereafter, it must file an FCC Form 481.</w:t>
      </w:r>
      <w:r>
        <w:rPr>
          <w:rStyle w:val="FootnoteReference"/>
          <w:rFonts w:ascii="Tahoma" w:hAnsi="Tahoma" w:cs="Tahoma"/>
          <w:sz w:val="22"/>
          <w:szCs w:val="22"/>
        </w:rPr>
        <w:footnoteReference w:id="7"/>
      </w:r>
      <w:r>
        <w:rPr>
          <w:rFonts w:ascii="Tahoma" w:hAnsi="Tahoma" w:cs="Tahoma"/>
          <w:sz w:val="22"/>
          <w:szCs w:val="22"/>
        </w:rPr>
        <w:t xml:space="preserve"> </w:t>
      </w:r>
      <w:r w:rsidRPr="000C6E78">
        <w:rPr>
          <w:rFonts w:ascii="Tahoma" w:hAnsi="Tahoma" w:cs="Tahoma"/>
          <w:sz w:val="22"/>
          <w:szCs w:val="22"/>
        </w:rPr>
        <w:t>Annual reports are filed with the Universal Service Administrative Company (USAC).</w:t>
      </w:r>
      <w:r>
        <w:rPr>
          <w:rStyle w:val="FootnoteReference"/>
          <w:rFonts w:ascii="Tahoma" w:hAnsi="Tahoma" w:cs="Tahoma"/>
          <w:sz w:val="22"/>
          <w:szCs w:val="22"/>
        </w:rPr>
        <w:footnoteReference w:id="8"/>
      </w:r>
    </w:p>
    <w:p w14:paraId="3E020DC7" w14:textId="23B40AC0" w:rsidR="000C6E78" w:rsidRDefault="000C6E78" w:rsidP="000C6E78">
      <w:pPr>
        <w:autoSpaceDE w:val="0"/>
        <w:autoSpaceDN w:val="0"/>
        <w:adjustRightInd w:val="0"/>
        <w:spacing w:line="360" w:lineRule="auto"/>
        <w:rPr>
          <w:rFonts w:ascii="Tahoma" w:hAnsi="Tahoma" w:cs="Tahoma"/>
          <w:sz w:val="22"/>
          <w:szCs w:val="22"/>
        </w:rPr>
      </w:pPr>
      <w:r w:rsidRPr="000C6E78">
        <w:rPr>
          <w:rFonts w:ascii="Tahoma" w:hAnsi="Tahoma" w:cs="Tahoma"/>
          <w:sz w:val="22"/>
          <w:szCs w:val="22"/>
        </w:rPr>
        <w:lastRenderedPageBreak/>
        <w:t>ETCs must complete the FCC Form 481 on USAC’s website.</w:t>
      </w:r>
      <w:r>
        <w:rPr>
          <w:rStyle w:val="FootnoteReference"/>
          <w:rFonts w:ascii="Tahoma" w:hAnsi="Tahoma" w:cs="Tahoma"/>
          <w:sz w:val="22"/>
          <w:szCs w:val="22"/>
        </w:rPr>
        <w:footnoteReference w:id="9"/>
      </w:r>
      <w:r w:rsidRPr="000C6E78">
        <w:rPr>
          <w:rFonts w:ascii="Tahoma" w:hAnsi="Tahoma" w:cs="Tahoma"/>
          <w:sz w:val="22"/>
          <w:szCs w:val="22"/>
        </w:rPr>
        <w:t xml:space="preserve"> As part of this form, carriers must test and certify compliance with relevant performance requirements in section 54.309 of the Commission’s rules.</w:t>
      </w:r>
      <w:r w:rsidRPr="000C6E78">
        <w:rPr>
          <w:rStyle w:val="FootnoteReference"/>
          <w:rFonts w:ascii="Tahoma" w:hAnsi="Tahoma" w:cs="Tahoma"/>
          <w:sz w:val="22"/>
          <w:szCs w:val="22"/>
        </w:rPr>
        <w:footnoteReference w:id="10"/>
      </w:r>
      <w:r w:rsidRPr="000C6E78">
        <w:rPr>
          <w:rFonts w:ascii="Tahoma" w:hAnsi="Tahoma" w:cs="Tahoma"/>
          <w:sz w:val="22"/>
          <w:szCs w:val="22"/>
        </w:rPr>
        <w:t xml:space="preserve"> The Wireline Competition Bureau (WCB), the Wireless Telecommunications Bureau (WTB), and the Office of Engineering and Technology (OET) have adopted a uniform framework to measure and report on the performance of ETCs’</w:t>
      </w:r>
      <w:r>
        <w:rPr>
          <w:rFonts w:ascii="Tahoma" w:hAnsi="Tahoma" w:cs="Tahoma"/>
          <w:sz w:val="22"/>
          <w:szCs w:val="22"/>
        </w:rPr>
        <w:t xml:space="preserve"> </w:t>
      </w:r>
      <w:r w:rsidRPr="000C6E78">
        <w:rPr>
          <w:rFonts w:ascii="Tahoma" w:hAnsi="Tahoma" w:cs="Tahoma"/>
          <w:sz w:val="22"/>
          <w:szCs w:val="22"/>
        </w:rPr>
        <w:t>broadband service.</w:t>
      </w:r>
      <w:r>
        <w:rPr>
          <w:rStyle w:val="FootnoteReference"/>
          <w:rFonts w:ascii="Tahoma" w:hAnsi="Tahoma" w:cs="Tahoma"/>
          <w:sz w:val="22"/>
          <w:szCs w:val="22"/>
        </w:rPr>
        <w:footnoteReference w:id="11"/>
      </w:r>
    </w:p>
    <w:p w14:paraId="4D0D3513" w14:textId="77777777" w:rsidR="00972D83" w:rsidRPr="000C6E78" w:rsidRDefault="00972D83" w:rsidP="000C6E78">
      <w:pPr>
        <w:autoSpaceDE w:val="0"/>
        <w:autoSpaceDN w:val="0"/>
        <w:adjustRightInd w:val="0"/>
        <w:spacing w:line="360" w:lineRule="auto"/>
        <w:rPr>
          <w:rFonts w:ascii="Tahoma" w:hAnsi="Tahoma" w:cs="Tahoma"/>
          <w:b/>
          <w:color w:val="000000"/>
          <w:sz w:val="22"/>
          <w:szCs w:val="22"/>
        </w:rPr>
      </w:pPr>
    </w:p>
    <w:p w14:paraId="295EAD23" w14:textId="5BD2C50D" w:rsidR="00972D83" w:rsidRPr="00972D83" w:rsidRDefault="00972D83" w:rsidP="00972D83">
      <w:pPr>
        <w:autoSpaceDE w:val="0"/>
        <w:autoSpaceDN w:val="0"/>
        <w:adjustRightInd w:val="0"/>
        <w:spacing w:line="360" w:lineRule="auto"/>
        <w:rPr>
          <w:rFonts w:ascii="Tahoma" w:hAnsi="Tahoma" w:cs="Tahoma"/>
          <w:sz w:val="22"/>
          <w:szCs w:val="22"/>
        </w:rPr>
      </w:pPr>
      <w:r w:rsidRPr="00972D83">
        <w:rPr>
          <w:rFonts w:ascii="Tahoma" w:hAnsi="Tahoma" w:cs="Tahoma"/>
          <w:b/>
          <w:i/>
          <w:iCs/>
          <w:sz w:val="22"/>
          <w:szCs w:val="22"/>
        </w:rPr>
        <w:t>Annual 54.314 Certification</w:t>
      </w:r>
      <w:r w:rsidRPr="00972D83">
        <w:rPr>
          <w:rFonts w:ascii="Tahoma" w:hAnsi="Tahoma" w:cs="Tahoma"/>
          <w:sz w:val="22"/>
          <w:szCs w:val="22"/>
        </w:rPr>
        <w:t>. On October 1st, beginning in the year after the winning bidder</w:t>
      </w:r>
      <w:r>
        <w:rPr>
          <w:rFonts w:ascii="Tahoma" w:hAnsi="Tahoma" w:cs="Tahoma"/>
          <w:sz w:val="22"/>
          <w:szCs w:val="22"/>
        </w:rPr>
        <w:t xml:space="preserve"> </w:t>
      </w:r>
      <w:r w:rsidRPr="00972D83">
        <w:rPr>
          <w:rFonts w:ascii="Tahoma" w:hAnsi="Tahoma" w:cs="Tahoma"/>
          <w:sz w:val="22"/>
          <w:szCs w:val="22"/>
        </w:rPr>
        <w:t>begins receiving support and continuing throughout the entire support term, an ETC</w:t>
      </w:r>
      <w:r>
        <w:rPr>
          <w:rFonts w:ascii="Tahoma" w:hAnsi="Tahoma" w:cs="Tahoma"/>
          <w:sz w:val="22"/>
          <w:szCs w:val="22"/>
        </w:rPr>
        <w:t xml:space="preserve"> </w:t>
      </w:r>
      <w:r w:rsidRPr="00972D83">
        <w:rPr>
          <w:rFonts w:ascii="Tahoma" w:hAnsi="Tahoma" w:cs="Tahoma"/>
          <w:sz w:val="22"/>
          <w:szCs w:val="22"/>
        </w:rPr>
        <w:t>designated by the FCC must certify that the support received in the prior year was used, and</w:t>
      </w:r>
      <w:r>
        <w:rPr>
          <w:rFonts w:ascii="Tahoma" w:hAnsi="Tahoma" w:cs="Tahoma"/>
          <w:sz w:val="22"/>
          <w:szCs w:val="22"/>
        </w:rPr>
        <w:t xml:space="preserve"> </w:t>
      </w:r>
      <w:r w:rsidRPr="00972D83">
        <w:rPr>
          <w:rFonts w:ascii="Tahoma" w:hAnsi="Tahoma" w:cs="Tahoma"/>
          <w:sz w:val="22"/>
          <w:szCs w:val="22"/>
        </w:rPr>
        <w:t>the support that will be received in the upcoming year will be used, only for the provision,</w:t>
      </w:r>
      <w:r>
        <w:rPr>
          <w:rFonts w:ascii="Tahoma" w:hAnsi="Tahoma" w:cs="Tahoma"/>
          <w:sz w:val="22"/>
          <w:szCs w:val="22"/>
        </w:rPr>
        <w:t xml:space="preserve"> </w:t>
      </w:r>
      <w:r w:rsidRPr="00972D83">
        <w:rPr>
          <w:rFonts w:ascii="Tahoma" w:hAnsi="Tahoma" w:cs="Tahoma"/>
          <w:sz w:val="22"/>
          <w:szCs w:val="22"/>
        </w:rPr>
        <w:t>maintenance, and upgrading of facilities and services for which support is intended.</w:t>
      </w:r>
      <w:r>
        <w:rPr>
          <w:rStyle w:val="FootnoteReference"/>
          <w:rFonts w:ascii="Tahoma" w:hAnsi="Tahoma" w:cs="Tahoma"/>
          <w:sz w:val="22"/>
          <w:szCs w:val="22"/>
        </w:rPr>
        <w:footnoteReference w:id="12"/>
      </w:r>
      <w:r w:rsidRPr="00972D83">
        <w:rPr>
          <w:rFonts w:ascii="Tahoma" w:hAnsi="Tahoma" w:cs="Tahoma"/>
          <w:sz w:val="22"/>
          <w:szCs w:val="22"/>
        </w:rPr>
        <w:t xml:space="preserve"> An</w:t>
      </w:r>
      <w:r>
        <w:rPr>
          <w:rFonts w:ascii="Tahoma" w:hAnsi="Tahoma" w:cs="Tahoma"/>
          <w:sz w:val="22"/>
          <w:szCs w:val="22"/>
        </w:rPr>
        <w:t xml:space="preserve"> </w:t>
      </w:r>
      <w:r w:rsidRPr="00972D83">
        <w:rPr>
          <w:rFonts w:ascii="Tahoma" w:hAnsi="Tahoma" w:cs="Tahoma"/>
          <w:sz w:val="22"/>
          <w:szCs w:val="22"/>
        </w:rPr>
        <w:t>ETC designated by the FCC must self-certify by filing a sworn affidavit executed by a</w:t>
      </w:r>
      <w:r>
        <w:rPr>
          <w:rFonts w:ascii="Tahoma" w:hAnsi="Tahoma" w:cs="Tahoma"/>
          <w:sz w:val="22"/>
          <w:szCs w:val="22"/>
        </w:rPr>
        <w:t xml:space="preserve"> </w:t>
      </w:r>
      <w:r w:rsidRPr="00972D83">
        <w:rPr>
          <w:rFonts w:ascii="Tahoma" w:hAnsi="Tahoma" w:cs="Tahoma"/>
          <w:sz w:val="22"/>
          <w:szCs w:val="22"/>
        </w:rPr>
        <w:t>corporate officer attesting to the relevant facts.</w:t>
      </w:r>
      <w:r>
        <w:rPr>
          <w:rStyle w:val="FootnoteReference"/>
          <w:rFonts w:ascii="Tahoma" w:hAnsi="Tahoma" w:cs="Tahoma"/>
          <w:sz w:val="22"/>
          <w:szCs w:val="22"/>
        </w:rPr>
        <w:footnoteReference w:id="13"/>
      </w:r>
      <w:r w:rsidRPr="00972D83">
        <w:rPr>
          <w:rFonts w:ascii="Tahoma" w:hAnsi="Tahoma" w:cs="Tahoma"/>
          <w:sz w:val="22"/>
          <w:szCs w:val="22"/>
        </w:rPr>
        <w:t xml:space="preserve"> Certifications must be filed with both the</w:t>
      </w:r>
      <w:r>
        <w:rPr>
          <w:rFonts w:ascii="Tahoma" w:hAnsi="Tahoma" w:cs="Tahoma"/>
          <w:sz w:val="22"/>
          <w:szCs w:val="22"/>
        </w:rPr>
        <w:t xml:space="preserve"> </w:t>
      </w:r>
      <w:r w:rsidRPr="00972D83">
        <w:rPr>
          <w:rFonts w:ascii="Tahoma" w:hAnsi="Tahoma" w:cs="Tahoma"/>
          <w:sz w:val="22"/>
          <w:szCs w:val="22"/>
        </w:rPr>
        <w:t>FCC and USAC. ETCs may submit their certifications to USAC via its online filing system</w:t>
      </w:r>
      <w:r>
        <w:rPr>
          <w:rStyle w:val="FootnoteReference"/>
          <w:rFonts w:ascii="Tahoma" w:hAnsi="Tahoma" w:cs="Tahoma"/>
          <w:sz w:val="22"/>
          <w:szCs w:val="22"/>
        </w:rPr>
        <w:footnoteReference w:id="14"/>
      </w:r>
      <w:r>
        <w:rPr>
          <w:rFonts w:ascii="Tahoma" w:hAnsi="Tahoma" w:cs="Tahoma"/>
          <w:sz w:val="22"/>
          <w:szCs w:val="22"/>
        </w:rPr>
        <w:t xml:space="preserve"> </w:t>
      </w:r>
      <w:r w:rsidRPr="00972D83">
        <w:rPr>
          <w:rFonts w:ascii="Tahoma" w:hAnsi="Tahoma" w:cs="Tahoma"/>
          <w:sz w:val="22"/>
          <w:szCs w:val="22"/>
        </w:rPr>
        <w:t>or by sending the appropriate certification sample letter (provided on USAC’s website) via</w:t>
      </w:r>
      <w:r>
        <w:rPr>
          <w:rFonts w:ascii="Tahoma" w:hAnsi="Tahoma" w:cs="Tahoma"/>
          <w:sz w:val="22"/>
          <w:szCs w:val="22"/>
        </w:rPr>
        <w:t xml:space="preserve"> </w:t>
      </w:r>
      <w:r w:rsidRPr="00972D83">
        <w:rPr>
          <w:rFonts w:ascii="Tahoma" w:hAnsi="Tahoma" w:cs="Tahoma"/>
          <w:sz w:val="22"/>
          <w:szCs w:val="22"/>
        </w:rPr>
        <w:t>email or U.S. mail.</w:t>
      </w:r>
      <w:r>
        <w:rPr>
          <w:rStyle w:val="FootnoteReference"/>
          <w:rFonts w:ascii="Tahoma" w:hAnsi="Tahoma" w:cs="Tahoma"/>
          <w:sz w:val="22"/>
          <w:szCs w:val="22"/>
        </w:rPr>
        <w:footnoteReference w:id="15"/>
      </w:r>
      <w:r w:rsidRPr="00972D83">
        <w:rPr>
          <w:rFonts w:ascii="Tahoma" w:hAnsi="Tahoma" w:cs="Tahoma"/>
          <w:sz w:val="22"/>
          <w:szCs w:val="22"/>
        </w:rPr>
        <w:t xml:space="preserve"> Certifications must also be submitted to the FCC’s Office of the</w:t>
      </w:r>
      <w:r>
        <w:rPr>
          <w:rFonts w:ascii="Tahoma" w:hAnsi="Tahoma" w:cs="Tahoma"/>
          <w:sz w:val="22"/>
          <w:szCs w:val="22"/>
        </w:rPr>
        <w:t xml:space="preserve"> </w:t>
      </w:r>
    </w:p>
    <w:p w14:paraId="326FBC22" w14:textId="5BB77BC1" w:rsidR="000C6E78" w:rsidRDefault="00972D83" w:rsidP="00972D83">
      <w:pPr>
        <w:autoSpaceDE w:val="0"/>
        <w:autoSpaceDN w:val="0"/>
        <w:adjustRightInd w:val="0"/>
        <w:spacing w:line="360" w:lineRule="auto"/>
        <w:rPr>
          <w:rFonts w:ascii="Tahoma" w:hAnsi="Tahoma" w:cs="Tahoma"/>
          <w:sz w:val="22"/>
          <w:szCs w:val="22"/>
        </w:rPr>
      </w:pPr>
      <w:r w:rsidRPr="00972D83">
        <w:rPr>
          <w:rFonts w:ascii="Tahoma" w:hAnsi="Tahoma" w:cs="Tahoma"/>
          <w:sz w:val="22"/>
          <w:szCs w:val="22"/>
        </w:rPr>
        <w:lastRenderedPageBreak/>
        <w:t>Secretary on or before October 1st. The submission should clearly reference WC Docket No.</w:t>
      </w:r>
      <w:r>
        <w:rPr>
          <w:rFonts w:ascii="Tahoma" w:hAnsi="Tahoma" w:cs="Tahoma"/>
          <w:sz w:val="22"/>
          <w:szCs w:val="22"/>
        </w:rPr>
        <w:t xml:space="preserve"> </w:t>
      </w:r>
      <w:r w:rsidRPr="00972D83">
        <w:rPr>
          <w:rFonts w:ascii="Tahoma" w:hAnsi="Tahoma" w:cs="Tahoma"/>
          <w:sz w:val="22"/>
          <w:szCs w:val="22"/>
        </w:rPr>
        <w:t>14–58, ETC Annual Reports and Certifications.</w:t>
      </w:r>
    </w:p>
    <w:p w14:paraId="29137BC6" w14:textId="77777777" w:rsidR="00972D83" w:rsidRDefault="00972D83" w:rsidP="00972D83">
      <w:pPr>
        <w:autoSpaceDE w:val="0"/>
        <w:autoSpaceDN w:val="0"/>
        <w:adjustRightInd w:val="0"/>
        <w:spacing w:line="360" w:lineRule="auto"/>
        <w:rPr>
          <w:rFonts w:ascii="Tahoma" w:hAnsi="Tahoma" w:cs="Tahoma"/>
          <w:sz w:val="22"/>
          <w:szCs w:val="22"/>
        </w:rPr>
      </w:pPr>
    </w:p>
    <w:p w14:paraId="568231A5" w14:textId="14EE1A07" w:rsidR="00972D83" w:rsidRDefault="00972D83" w:rsidP="00972D83">
      <w:pPr>
        <w:autoSpaceDE w:val="0"/>
        <w:autoSpaceDN w:val="0"/>
        <w:adjustRightInd w:val="0"/>
        <w:spacing w:line="360" w:lineRule="auto"/>
        <w:rPr>
          <w:rFonts w:ascii="Tahoma" w:hAnsi="Tahoma" w:cs="Tahoma"/>
          <w:sz w:val="22"/>
          <w:szCs w:val="22"/>
        </w:rPr>
      </w:pPr>
      <w:r w:rsidRPr="00972D83">
        <w:rPr>
          <w:rFonts w:ascii="Tahoma" w:hAnsi="Tahoma" w:cs="Tahoma"/>
          <w:b/>
          <w:i/>
          <w:iCs/>
          <w:sz w:val="22"/>
          <w:szCs w:val="22"/>
        </w:rPr>
        <w:t>Annual Reporting of Location Information</w:t>
      </w:r>
      <w:r w:rsidRPr="00972D83">
        <w:rPr>
          <w:rFonts w:ascii="Tahoma" w:hAnsi="Tahoma" w:cs="Tahoma"/>
          <w:sz w:val="22"/>
          <w:szCs w:val="22"/>
        </w:rPr>
        <w:t>. On or before the last business day of the second</w:t>
      </w:r>
      <w:r>
        <w:rPr>
          <w:rFonts w:ascii="Tahoma" w:hAnsi="Tahoma" w:cs="Tahoma"/>
          <w:sz w:val="22"/>
          <w:szCs w:val="22"/>
        </w:rPr>
        <w:t xml:space="preserve"> </w:t>
      </w:r>
      <w:r w:rsidRPr="00972D83">
        <w:rPr>
          <w:rFonts w:ascii="Tahoma" w:hAnsi="Tahoma" w:cs="Tahoma"/>
          <w:sz w:val="22"/>
          <w:szCs w:val="22"/>
        </w:rPr>
        <w:t>calendar month following the one-year anniversary of support authorization, and by the same</w:t>
      </w:r>
      <w:r>
        <w:rPr>
          <w:rFonts w:ascii="Tahoma" w:hAnsi="Tahoma" w:cs="Tahoma"/>
          <w:sz w:val="22"/>
          <w:szCs w:val="22"/>
        </w:rPr>
        <w:t xml:space="preserve"> </w:t>
      </w:r>
      <w:r w:rsidRPr="00972D83">
        <w:rPr>
          <w:rFonts w:ascii="Tahoma" w:hAnsi="Tahoma" w:cs="Tahoma"/>
          <w:sz w:val="22"/>
          <w:szCs w:val="22"/>
        </w:rPr>
        <w:t>day in subsequent years until all build-out requirements are satisfied, winning bidders must</w:t>
      </w:r>
      <w:r>
        <w:rPr>
          <w:rFonts w:ascii="Tahoma" w:hAnsi="Tahoma" w:cs="Tahoma"/>
          <w:sz w:val="22"/>
          <w:szCs w:val="22"/>
        </w:rPr>
        <w:t xml:space="preserve"> </w:t>
      </w:r>
      <w:r w:rsidRPr="00972D83">
        <w:rPr>
          <w:rFonts w:ascii="Tahoma" w:hAnsi="Tahoma" w:cs="Tahoma"/>
          <w:sz w:val="22"/>
          <w:szCs w:val="22"/>
        </w:rPr>
        <w:t>file with USAC through the High-Cost Universal Broadband (HUBB) portal location</w:t>
      </w:r>
      <w:r>
        <w:rPr>
          <w:rFonts w:ascii="Tahoma" w:hAnsi="Tahoma" w:cs="Tahoma"/>
          <w:sz w:val="22"/>
          <w:szCs w:val="22"/>
        </w:rPr>
        <w:t xml:space="preserve"> </w:t>
      </w:r>
      <w:r w:rsidRPr="00972D83">
        <w:rPr>
          <w:rFonts w:ascii="Tahoma" w:hAnsi="Tahoma" w:cs="Tahoma"/>
          <w:sz w:val="22"/>
          <w:szCs w:val="22"/>
        </w:rPr>
        <w:t>information, including geocoded data, for each qualifying location to which they are offering</w:t>
      </w:r>
      <w:r>
        <w:rPr>
          <w:rFonts w:ascii="Tahoma" w:hAnsi="Tahoma" w:cs="Tahoma"/>
          <w:sz w:val="22"/>
          <w:szCs w:val="22"/>
        </w:rPr>
        <w:t xml:space="preserve"> </w:t>
      </w:r>
      <w:r w:rsidRPr="00972D83">
        <w:rPr>
          <w:rFonts w:ascii="Tahoma" w:hAnsi="Tahoma" w:cs="Tahoma"/>
          <w:sz w:val="22"/>
          <w:szCs w:val="22"/>
        </w:rPr>
        <w:t>the requisite service and identify the kind of technology used to bring such service.</w:t>
      </w:r>
      <w:r>
        <w:rPr>
          <w:rStyle w:val="FootnoteReference"/>
          <w:rFonts w:ascii="Tahoma" w:hAnsi="Tahoma" w:cs="Tahoma"/>
          <w:sz w:val="22"/>
          <w:szCs w:val="22"/>
        </w:rPr>
        <w:footnoteReference w:id="16"/>
      </w:r>
      <w:r w:rsidRPr="00972D83">
        <w:rPr>
          <w:rFonts w:ascii="Tahoma" w:hAnsi="Tahoma" w:cs="Tahoma"/>
          <w:sz w:val="22"/>
          <w:szCs w:val="22"/>
        </w:rPr>
        <w:t xml:space="preserve"> In the</w:t>
      </w:r>
      <w:r>
        <w:rPr>
          <w:rFonts w:ascii="Tahoma" w:hAnsi="Tahoma" w:cs="Tahoma"/>
          <w:sz w:val="22"/>
          <w:szCs w:val="22"/>
        </w:rPr>
        <w:t xml:space="preserve"> </w:t>
      </w:r>
      <w:r w:rsidRPr="00972D83">
        <w:rPr>
          <w:rFonts w:ascii="Tahoma" w:hAnsi="Tahoma" w:cs="Tahoma"/>
          <w:sz w:val="22"/>
          <w:szCs w:val="22"/>
        </w:rPr>
        <w:t>first year, bidders must submit all locations where the requisite service is being provided, and</w:t>
      </w:r>
      <w:r>
        <w:rPr>
          <w:rFonts w:ascii="Tahoma" w:hAnsi="Tahoma" w:cs="Tahoma"/>
          <w:sz w:val="22"/>
          <w:szCs w:val="22"/>
        </w:rPr>
        <w:t xml:space="preserve"> </w:t>
      </w:r>
      <w:r w:rsidRPr="00972D83">
        <w:rPr>
          <w:rFonts w:ascii="Tahoma" w:hAnsi="Tahoma" w:cs="Tahoma"/>
          <w:sz w:val="22"/>
          <w:szCs w:val="22"/>
        </w:rPr>
        <w:t>in subsequent years, all locations to which they are newly offering service.</w:t>
      </w:r>
      <w:r w:rsidR="00AA6B0B">
        <w:rPr>
          <w:rStyle w:val="FootnoteReference"/>
          <w:rFonts w:ascii="Tahoma" w:hAnsi="Tahoma" w:cs="Tahoma"/>
          <w:sz w:val="22"/>
          <w:szCs w:val="22"/>
        </w:rPr>
        <w:footnoteReference w:id="17"/>
      </w:r>
      <w:r w:rsidRPr="00972D83">
        <w:rPr>
          <w:rFonts w:ascii="Tahoma" w:hAnsi="Tahoma" w:cs="Tahoma"/>
          <w:sz w:val="22"/>
          <w:szCs w:val="22"/>
        </w:rPr>
        <w:t xml:space="preserve"> The</w:t>
      </w:r>
      <w:r>
        <w:rPr>
          <w:rFonts w:ascii="Tahoma" w:hAnsi="Tahoma" w:cs="Tahoma"/>
          <w:sz w:val="22"/>
          <w:szCs w:val="22"/>
        </w:rPr>
        <w:t xml:space="preserve"> </w:t>
      </w:r>
      <w:r w:rsidRPr="00972D83">
        <w:rPr>
          <w:rFonts w:ascii="Tahoma" w:hAnsi="Tahoma" w:cs="Tahoma"/>
          <w:sz w:val="22"/>
          <w:szCs w:val="22"/>
        </w:rPr>
        <w:t>Commission has consistently encouraged carriers subject to defined deployment obligations</w:t>
      </w:r>
      <w:r>
        <w:rPr>
          <w:rFonts w:ascii="Tahoma" w:hAnsi="Tahoma" w:cs="Tahoma"/>
          <w:sz w:val="22"/>
          <w:szCs w:val="22"/>
        </w:rPr>
        <w:t xml:space="preserve"> </w:t>
      </w:r>
      <w:r w:rsidRPr="00972D83">
        <w:rPr>
          <w:rFonts w:ascii="Tahoma" w:hAnsi="Tahoma" w:cs="Tahoma"/>
          <w:sz w:val="22"/>
          <w:szCs w:val="22"/>
        </w:rPr>
        <w:t>and HUBB reporting obligations to report location data on a rolling basis and has adopted a</w:t>
      </w:r>
      <w:r>
        <w:rPr>
          <w:rFonts w:ascii="Tahoma" w:hAnsi="Tahoma" w:cs="Tahoma"/>
          <w:sz w:val="22"/>
          <w:szCs w:val="22"/>
        </w:rPr>
        <w:t xml:space="preserve"> </w:t>
      </w:r>
      <w:r w:rsidRPr="00972D83">
        <w:rPr>
          <w:rFonts w:ascii="Tahoma" w:hAnsi="Tahoma" w:cs="Tahoma"/>
          <w:sz w:val="22"/>
          <w:szCs w:val="22"/>
        </w:rPr>
        <w:t>best practice of filing this information within 30 days after the initial offering of service.</w:t>
      </w:r>
      <w:r w:rsidR="00AA6B0B">
        <w:rPr>
          <w:rStyle w:val="FootnoteReference"/>
          <w:rFonts w:ascii="Tahoma" w:hAnsi="Tahoma" w:cs="Tahoma"/>
          <w:sz w:val="22"/>
          <w:szCs w:val="22"/>
        </w:rPr>
        <w:footnoteReference w:id="18"/>
      </w:r>
    </w:p>
    <w:p w14:paraId="0D694C19" w14:textId="1B990E7C" w:rsidR="00AA6B0B" w:rsidRDefault="00AA6B0B" w:rsidP="00972D83">
      <w:pPr>
        <w:autoSpaceDE w:val="0"/>
        <w:autoSpaceDN w:val="0"/>
        <w:adjustRightInd w:val="0"/>
        <w:spacing w:line="360" w:lineRule="auto"/>
        <w:rPr>
          <w:rFonts w:ascii="Tahoma" w:hAnsi="Tahoma" w:cs="Tahoma"/>
          <w:b/>
          <w:color w:val="000000"/>
          <w:sz w:val="22"/>
          <w:szCs w:val="22"/>
        </w:rPr>
      </w:pPr>
    </w:p>
    <w:p w14:paraId="6ED24B03" w14:textId="56013868" w:rsidR="00AA6B0B" w:rsidRPr="00AA6B0B" w:rsidRDefault="00AA6B0B" w:rsidP="00AA6B0B">
      <w:pPr>
        <w:autoSpaceDE w:val="0"/>
        <w:autoSpaceDN w:val="0"/>
        <w:adjustRightInd w:val="0"/>
        <w:spacing w:line="360" w:lineRule="auto"/>
        <w:rPr>
          <w:rFonts w:ascii="Tahoma" w:hAnsi="Tahoma" w:cs="Tahoma"/>
          <w:sz w:val="22"/>
          <w:szCs w:val="22"/>
        </w:rPr>
      </w:pPr>
      <w:r w:rsidRPr="00AA6B0B">
        <w:rPr>
          <w:rFonts w:ascii="Tahoma" w:hAnsi="Tahoma" w:cs="Tahoma"/>
          <w:b/>
          <w:i/>
          <w:iCs/>
          <w:sz w:val="22"/>
          <w:szCs w:val="22"/>
        </w:rPr>
        <w:t>Milestone Certifications</w:t>
      </w:r>
      <w:r w:rsidRPr="00AA6B0B">
        <w:rPr>
          <w:rFonts w:ascii="Tahoma" w:hAnsi="Tahoma" w:cs="Tahoma"/>
          <w:sz w:val="22"/>
          <w:szCs w:val="22"/>
        </w:rPr>
        <w:t>. By the last business day of the second calendar month following each relevant service milestone, an ETC must file a certification that they have met their interim service milestone and are meeting the requisite public interest obligations.</w:t>
      </w:r>
      <w:r>
        <w:rPr>
          <w:rStyle w:val="FootnoteReference"/>
          <w:rFonts w:ascii="Tahoma" w:hAnsi="Tahoma" w:cs="Tahoma"/>
          <w:sz w:val="22"/>
          <w:szCs w:val="22"/>
        </w:rPr>
        <w:footnoteReference w:id="19"/>
      </w:r>
      <w:r w:rsidRPr="00AA6B0B">
        <w:rPr>
          <w:rFonts w:ascii="Tahoma" w:hAnsi="Tahoma" w:cs="Tahoma"/>
          <w:sz w:val="22"/>
          <w:szCs w:val="22"/>
        </w:rPr>
        <w:t xml:space="preserve"> If an</w:t>
      </w:r>
    </w:p>
    <w:p w14:paraId="59CD75C0" w14:textId="6D260941" w:rsidR="00AA6B0B" w:rsidRDefault="00AA6B0B" w:rsidP="00AA6B0B">
      <w:pPr>
        <w:autoSpaceDE w:val="0"/>
        <w:autoSpaceDN w:val="0"/>
        <w:adjustRightInd w:val="0"/>
        <w:spacing w:line="360" w:lineRule="auto"/>
        <w:rPr>
          <w:rFonts w:ascii="Tahoma" w:hAnsi="Tahoma" w:cs="Tahoma"/>
          <w:sz w:val="22"/>
          <w:szCs w:val="22"/>
        </w:rPr>
      </w:pPr>
      <w:r w:rsidRPr="00AA6B0B">
        <w:rPr>
          <w:rFonts w:ascii="Tahoma" w:hAnsi="Tahoma" w:cs="Tahoma"/>
          <w:sz w:val="22"/>
          <w:szCs w:val="22"/>
        </w:rPr>
        <w:lastRenderedPageBreak/>
        <w:t>ETC is unable to meet an interim build-out milestone, it must notify the Commission, USAC,</w:t>
      </w:r>
      <w:r>
        <w:rPr>
          <w:rFonts w:ascii="Tahoma" w:hAnsi="Tahoma" w:cs="Tahoma"/>
          <w:sz w:val="22"/>
          <w:szCs w:val="22"/>
        </w:rPr>
        <w:t xml:space="preserve"> </w:t>
      </w:r>
      <w:r w:rsidRPr="00AA6B0B">
        <w:rPr>
          <w:rFonts w:ascii="Tahoma" w:hAnsi="Tahoma" w:cs="Tahoma"/>
          <w:sz w:val="22"/>
          <w:szCs w:val="22"/>
        </w:rPr>
        <w:t>and the relevant state, U.S. Territory, or Tribal government as appropriate, no later than ten</w:t>
      </w:r>
      <w:r>
        <w:rPr>
          <w:rFonts w:ascii="Tahoma" w:hAnsi="Tahoma" w:cs="Tahoma"/>
          <w:sz w:val="22"/>
          <w:szCs w:val="22"/>
        </w:rPr>
        <w:t xml:space="preserve"> </w:t>
      </w:r>
      <w:r w:rsidRPr="00AA6B0B">
        <w:rPr>
          <w:rFonts w:ascii="Tahoma" w:hAnsi="Tahoma" w:cs="Tahoma"/>
          <w:sz w:val="22"/>
          <w:szCs w:val="22"/>
        </w:rPr>
        <w:t>business days after the applicable deadline.</w:t>
      </w:r>
      <w:r>
        <w:rPr>
          <w:rStyle w:val="FootnoteReference"/>
          <w:rFonts w:ascii="Tahoma" w:hAnsi="Tahoma" w:cs="Tahoma"/>
          <w:sz w:val="22"/>
          <w:szCs w:val="22"/>
        </w:rPr>
        <w:footnoteReference w:id="20"/>
      </w:r>
      <w:r w:rsidRPr="00AA6B0B">
        <w:rPr>
          <w:rFonts w:ascii="Tahoma" w:hAnsi="Tahoma" w:cs="Tahoma"/>
          <w:sz w:val="22"/>
          <w:szCs w:val="22"/>
        </w:rPr>
        <w:t xml:space="preserve"> </w:t>
      </w:r>
    </w:p>
    <w:p w14:paraId="673DEEA8" w14:textId="4DF9A089" w:rsidR="00AA6B0B" w:rsidRDefault="00AA6B0B" w:rsidP="00AA6B0B">
      <w:pPr>
        <w:autoSpaceDE w:val="0"/>
        <w:autoSpaceDN w:val="0"/>
        <w:adjustRightInd w:val="0"/>
        <w:spacing w:line="360" w:lineRule="auto"/>
        <w:rPr>
          <w:rFonts w:ascii="Tahoma" w:hAnsi="Tahoma" w:cs="Tahoma"/>
          <w:sz w:val="22"/>
          <w:szCs w:val="22"/>
        </w:rPr>
      </w:pPr>
    </w:p>
    <w:p w14:paraId="7C908B1F" w14:textId="227D8552" w:rsidR="00AA6B0B" w:rsidRDefault="00AA6B0B" w:rsidP="00AA6B0B">
      <w:pPr>
        <w:autoSpaceDE w:val="0"/>
        <w:autoSpaceDN w:val="0"/>
        <w:adjustRightInd w:val="0"/>
        <w:spacing w:line="360" w:lineRule="auto"/>
        <w:rPr>
          <w:rFonts w:ascii="Tahoma" w:hAnsi="Tahoma" w:cs="Tahoma"/>
          <w:b/>
          <w:i/>
          <w:iCs/>
          <w:sz w:val="22"/>
          <w:szCs w:val="22"/>
        </w:rPr>
      </w:pPr>
      <w:r w:rsidRPr="00AA6B0B">
        <w:rPr>
          <w:rFonts w:ascii="Tahoma" w:hAnsi="Tahoma" w:cs="Tahoma"/>
          <w:b/>
          <w:sz w:val="22"/>
          <w:szCs w:val="22"/>
        </w:rPr>
        <w:t>IX.</w:t>
      </w:r>
      <w:r w:rsidR="004422FF">
        <w:rPr>
          <w:rFonts w:ascii="Tahoma" w:hAnsi="Tahoma" w:cs="Tahoma"/>
          <w:b/>
          <w:sz w:val="22"/>
          <w:szCs w:val="22"/>
        </w:rPr>
        <w:t xml:space="preserve"> </w:t>
      </w:r>
      <w:r w:rsidR="004422FF" w:rsidRPr="004422FF">
        <w:rPr>
          <w:rFonts w:ascii="Tahoma" w:hAnsi="Tahoma" w:cs="Tahoma"/>
          <w:b/>
          <w:i/>
          <w:iCs/>
          <w:sz w:val="22"/>
          <w:szCs w:val="22"/>
        </w:rPr>
        <w:t>Document Retention and Compliance Audits.</w:t>
      </w:r>
      <w:r w:rsidR="004422FF">
        <w:rPr>
          <w:rFonts w:ascii="Tahoma" w:hAnsi="Tahoma" w:cs="Tahoma"/>
          <w:b/>
          <w:i/>
          <w:iCs/>
          <w:sz w:val="22"/>
          <w:szCs w:val="22"/>
        </w:rPr>
        <w:t xml:space="preserve"> </w:t>
      </w:r>
    </w:p>
    <w:p w14:paraId="67971010" w14:textId="3879568A" w:rsidR="004422FF" w:rsidRPr="004422FF" w:rsidRDefault="004422FF" w:rsidP="004422FF">
      <w:pPr>
        <w:autoSpaceDE w:val="0"/>
        <w:autoSpaceDN w:val="0"/>
        <w:adjustRightInd w:val="0"/>
        <w:spacing w:line="360" w:lineRule="auto"/>
        <w:rPr>
          <w:rFonts w:ascii="Tahoma" w:hAnsi="Tahoma" w:cs="Tahoma"/>
          <w:sz w:val="22"/>
          <w:szCs w:val="22"/>
        </w:rPr>
      </w:pPr>
      <w:r>
        <w:rPr>
          <w:rFonts w:ascii="Tahoma" w:hAnsi="Tahoma" w:cs="Tahoma"/>
          <w:sz w:val="22"/>
          <w:szCs w:val="22"/>
        </w:rPr>
        <w:t>Plains Internet will</w:t>
      </w:r>
      <w:r w:rsidRPr="004422FF">
        <w:rPr>
          <w:rFonts w:ascii="Tahoma" w:hAnsi="Tahoma" w:cs="Tahoma"/>
          <w:sz w:val="22"/>
          <w:szCs w:val="22"/>
        </w:rPr>
        <w:t xml:space="preserve"> retain, for at least ten years, all records necessary to demonstrate to</w:t>
      </w:r>
    </w:p>
    <w:p w14:paraId="44705ADA" w14:textId="0ED6B45F" w:rsidR="004422FF" w:rsidRDefault="004422FF" w:rsidP="004422FF">
      <w:pPr>
        <w:autoSpaceDE w:val="0"/>
        <w:autoSpaceDN w:val="0"/>
        <w:adjustRightInd w:val="0"/>
        <w:spacing w:line="360" w:lineRule="auto"/>
        <w:rPr>
          <w:rFonts w:ascii="Tahoma" w:hAnsi="Tahoma" w:cs="Tahoma"/>
          <w:sz w:val="22"/>
          <w:szCs w:val="22"/>
        </w:rPr>
      </w:pPr>
      <w:r w:rsidRPr="004422FF">
        <w:rPr>
          <w:rFonts w:ascii="Tahoma" w:hAnsi="Tahoma" w:cs="Tahoma"/>
          <w:sz w:val="22"/>
          <w:szCs w:val="22"/>
        </w:rPr>
        <w:t>auditors that the support received was consistent with universal service high-cost program rules and to</w:t>
      </w:r>
      <w:r>
        <w:rPr>
          <w:rFonts w:ascii="Tahoma" w:hAnsi="Tahoma" w:cs="Tahoma"/>
          <w:sz w:val="22"/>
          <w:szCs w:val="22"/>
        </w:rPr>
        <w:t xml:space="preserve"> </w:t>
      </w:r>
      <w:r w:rsidRPr="004422FF">
        <w:rPr>
          <w:rFonts w:ascii="Tahoma" w:hAnsi="Tahoma" w:cs="Tahoma"/>
          <w:sz w:val="22"/>
          <w:szCs w:val="22"/>
        </w:rPr>
        <w:t>make these documents available upon request to the FCC (and any of its bureaus or offices) and to</w:t>
      </w:r>
      <w:r>
        <w:rPr>
          <w:rFonts w:ascii="Tahoma" w:hAnsi="Tahoma" w:cs="Tahoma"/>
          <w:sz w:val="22"/>
          <w:szCs w:val="22"/>
        </w:rPr>
        <w:t xml:space="preserve"> </w:t>
      </w:r>
      <w:r w:rsidRPr="004422FF">
        <w:rPr>
          <w:rFonts w:ascii="Tahoma" w:hAnsi="Tahoma" w:cs="Tahoma"/>
          <w:sz w:val="22"/>
          <w:szCs w:val="22"/>
        </w:rPr>
        <w:t>USAC, and to their respective auditors.</w:t>
      </w:r>
      <w:r>
        <w:rPr>
          <w:rStyle w:val="FootnoteReference"/>
          <w:rFonts w:ascii="Tahoma" w:hAnsi="Tahoma" w:cs="Tahoma"/>
          <w:sz w:val="22"/>
          <w:szCs w:val="22"/>
        </w:rPr>
        <w:footnoteReference w:id="21"/>
      </w:r>
      <w:r w:rsidRPr="004422FF">
        <w:rPr>
          <w:rFonts w:ascii="Tahoma" w:hAnsi="Tahoma" w:cs="Tahoma"/>
          <w:sz w:val="22"/>
          <w:szCs w:val="22"/>
        </w:rPr>
        <w:t xml:space="preserve"> In addition, </w:t>
      </w:r>
      <w:r>
        <w:rPr>
          <w:rFonts w:ascii="Tahoma" w:hAnsi="Tahoma" w:cs="Tahoma"/>
          <w:sz w:val="22"/>
          <w:szCs w:val="22"/>
        </w:rPr>
        <w:t>Plains Internet understands</w:t>
      </w:r>
      <w:r w:rsidRPr="004422FF">
        <w:rPr>
          <w:rFonts w:ascii="Tahoma" w:hAnsi="Tahoma" w:cs="Tahoma"/>
          <w:sz w:val="22"/>
          <w:szCs w:val="22"/>
        </w:rPr>
        <w:t xml:space="preserve"> that </w:t>
      </w:r>
      <w:r>
        <w:rPr>
          <w:rFonts w:ascii="Tahoma" w:hAnsi="Tahoma" w:cs="Tahoma"/>
          <w:sz w:val="22"/>
          <w:szCs w:val="22"/>
        </w:rPr>
        <w:t>as a recipient of high cost</w:t>
      </w:r>
      <w:r w:rsidRPr="004422FF">
        <w:rPr>
          <w:rFonts w:ascii="Tahoma" w:hAnsi="Tahoma" w:cs="Tahoma"/>
          <w:sz w:val="22"/>
          <w:szCs w:val="22"/>
        </w:rPr>
        <w:t xml:space="preserve"> support </w:t>
      </w:r>
      <w:r>
        <w:rPr>
          <w:rFonts w:ascii="Tahoma" w:hAnsi="Tahoma" w:cs="Tahoma"/>
          <w:sz w:val="22"/>
          <w:szCs w:val="22"/>
        </w:rPr>
        <w:t>it is</w:t>
      </w:r>
      <w:r w:rsidRPr="004422FF">
        <w:rPr>
          <w:rFonts w:ascii="Tahoma" w:hAnsi="Tahoma" w:cs="Tahoma"/>
          <w:sz w:val="22"/>
          <w:szCs w:val="22"/>
        </w:rPr>
        <w:t xml:space="preserve"> subject</w:t>
      </w:r>
      <w:r>
        <w:rPr>
          <w:rFonts w:ascii="Tahoma" w:hAnsi="Tahoma" w:cs="Tahoma"/>
          <w:sz w:val="22"/>
          <w:szCs w:val="22"/>
        </w:rPr>
        <w:t xml:space="preserve"> </w:t>
      </w:r>
      <w:r w:rsidRPr="004422FF">
        <w:rPr>
          <w:rFonts w:ascii="Tahoma" w:hAnsi="Tahoma" w:cs="Tahoma"/>
          <w:sz w:val="22"/>
          <w:szCs w:val="22"/>
        </w:rPr>
        <w:t>to random compliance audits and other investigations to ensure compliance with program rules and</w:t>
      </w:r>
      <w:r>
        <w:rPr>
          <w:rFonts w:ascii="Tahoma" w:hAnsi="Tahoma" w:cs="Tahoma"/>
          <w:sz w:val="22"/>
          <w:szCs w:val="22"/>
        </w:rPr>
        <w:t xml:space="preserve"> </w:t>
      </w:r>
      <w:r w:rsidRPr="004422FF">
        <w:rPr>
          <w:rFonts w:ascii="Tahoma" w:hAnsi="Tahoma" w:cs="Tahoma"/>
          <w:sz w:val="22"/>
          <w:szCs w:val="22"/>
        </w:rPr>
        <w:t>orders, including verification of actual deployment to reported locations.</w:t>
      </w:r>
      <w:r>
        <w:rPr>
          <w:rStyle w:val="FootnoteReference"/>
          <w:rFonts w:ascii="Tahoma" w:hAnsi="Tahoma" w:cs="Tahoma"/>
          <w:sz w:val="22"/>
          <w:szCs w:val="22"/>
        </w:rPr>
        <w:footnoteReference w:id="22"/>
      </w:r>
    </w:p>
    <w:p w14:paraId="5DD258DB" w14:textId="69A7BA2C" w:rsidR="004422FF" w:rsidRDefault="004422FF" w:rsidP="004422FF">
      <w:pPr>
        <w:autoSpaceDE w:val="0"/>
        <w:autoSpaceDN w:val="0"/>
        <w:adjustRightInd w:val="0"/>
        <w:spacing w:line="360" w:lineRule="auto"/>
        <w:rPr>
          <w:rFonts w:ascii="Tahoma" w:hAnsi="Tahoma" w:cs="Tahoma"/>
          <w:b/>
          <w:i/>
          <w:iCs/>
          <w:sz w:val="22"/>
          <w:szCs w:val="22"/>
        </w:rPr>
      </w:pPr>
    </w:p>
    <w:p w14:paraId="629E2A69" w14:textId="776F3CD9" w:rsidR="004422FF" w:rsidRDefault="004422FF" w:rsidP="004422FF">
      <w:pPr>
        <w:autoSpaceDE w:val="0"/>
        <w:autoSpaceDN w:val="0"/>
        <w:adjustRightInd w:val="0"/>
        <w:spacing w:line="360" w:lineRule="auto"/>
        <w:rPr>
          <w:rFonts w:ascii="Tahoma" w:hAnsi="Tahoma" w:cs="Tahoma"/>
          <w:b/>
          <w:iCs/>
          <w:sz w:val="22"/>
          <w:szCs w:val="22"/>
        </w:rPr>
      </w:pPr>
      <w:r w:rsidRPr="004422FF">
        <w:rPr>
          <w:rFonts w:ascii="Tahoma" w:hAnsi="Tahoma" w:cs="Tahoma"/>
          <w:b/>
          <w:iCs/>
          <w:sz w:val="22"/>
          <w:szCs w:val="22"/>
        </w:rPr>
        <w:t>X.</w:t>
      </w:r>
      <w:r>
        <w:rPr>
          <w:rFonts w:ascii="Tahoma" w:hAnsi="Tahoma" w:cs="Tahoma"/>
          <w:b/>
          <w:iCs/>
          <w:sz w:val="22"/>
          <w:szCs w:val="22"/>
        </w:rPr>
        <w:t xml:space="preserve"> Conclusion </w:t>
      </w:r>
    </w:p>
    <w:p w14:paraId="29225F15" w14:textId="196B6B3F" w:rsidR="004422FF" w:rsidRPr="004422FF" w:rsidRDefault="004422FF" w:rsidP="004422FF">
      <w:pPr>
        <w:autoSpaceDE w:val="0"/>
        <w:autoSpaceDN w:val="0"/>
        <w:adjustRightInd w:val="0"/>
        <w:spacing w:line="360" w:lineRule="auto"/>
        <w:rPr>
          <w:rFonts w:ascii="Tahoma" w:hAnsi="Tahoma" w:cs="Tahoma"/>
          <w:color w:val="000000"/>
          <w:sz w:val="22"/>
          <w:szCs w:val="22"/>
        </w:rPr>
      </w:pPr>
      <w:r w:rsidRPr="004422FF">
        <w:rPr>
          <w:rFonts w:ascii="Tahoma" w:hAnsi="Tahoma" w:cs="Tahoma"/>
          <w:color w:val="000000"/>
          <w:sz w:val="22"/>
          <w:szCs w:val="22"/>
        </w:rPr>
        <w:t xml:space="preserve">As discussed above, designation of Plains Internet as an Eligible Telecommunications Carrier (ETC) in Texas accords with the requirements of the Act and is in the public interest. For </w:t>
      </w:r>
      <w:proofErr w:type="gramStart"/>
      <w:r w:rsidRPr="004422FF">
        <w:rPr>
          <w:rFonts w:ascii="Tahoma" w:hAnsi="Tahoma" w:cs="Tahoma"/>
          <w:color w:val="000000"/>
          <w:sz w:val="22"/>
          <w:szCs w:val="22"/>
        </w:rPr>
        <w:t>all of</w:t>
      </w:r>
      <w:proofErr w:type="gramEnd"/>
      <w:r w:rsidRPr="004422FF">
        <w:rPr>
          <w:rFonts w:ascii="Tahoma" w:hAnsi="Tahoma" w:cs="Tahoma"/>
          <w:color w:val="000000"/>
          <w:sz w:val="22"/>
          <w:szCs w:val="22"/>
        </w:rPr>
        <w:t xml:space="preserve"> the foregoing reasons,</w:t>
      </w:r>
      <w:r>
        <w:rPr>
          <w:rFonts w:ascii="Tahoma" w:hAnsi="Tahoma" w:cs="Tahoma"/>
          <w:color w:val="000000"/>
          <w:sz w:val="22"/>
          <w:szCs w:val="22"/>
        </w:rPr>
        <w:t xml:space="preserve"> and pursuant to receiving CAFII funding</w:t>
      </w:r>
      <w:r w:rsidRPr="004422FF">
        <w:rPr>
          <w:rFonts w:ascii="Tahoma" w:hAnsi="Tahoma" w:cs="Tahoma"/>
          <w:color w:val="000000"/>
          <w:sz w:val="22"/>
          <w:szCs w:val="22"/>
        </w:rPr>
        <w:t xml:space="preserve"> Plains Internet respectfully requests that the Commission designate it as an Eligible Telecommunications Carrier (ETC) in Texas.</w:t>
      </w:r>
    </w:p>
    <w:p w14:paraId="017E4F8A" w14:textId="77777777" w:rsidR="004422FF" w:rsidRPr="004422FF" w:rsidRDefault="004422FF" w:rsidP="004422FF">
      <w:pPr>
        <w:autoSpaceDE w:val="0"/>
        <w:autoSpaceDN w:val="0"/>
        <w:adjustRightInd w:val="0"/>
        <w:spacing w:line="360" w:lineRule="auto"/>
        <w:rPr>
          <w:rFonts w:ascii="Tahoma" w:hAnsi="Tahoma" w:cs="Tahoma"/>
          <w:iCs/>
          <w:sz w:val="22"/>
          <w:szCs w:val="22"/>
        </w:rPr>
      </w:pPr>
    </w:p>
    <w:p w14:paraId="2D15B4C9" w14:textId="77777777" w:rsidR="004422FF" w:rsidRPr="004422FF" w:rsidRDefault="004422FF" w:rsidP="004422FF">
      <w:pPr>
        <w:autoSpaceDE w:val="0"/>
        <w:autoSpaceDN w:val="0"/>
        <w:adjustRightInd w:val="0"/>
        <w:spacing w:line="360" w:lineRule="auto"/>
        <w:rPr>
          <w:rFonts w:ascii="Tahoma" w:hAnsi="Tahoma" w:cs="Tahoma"/>
          <w:b/>
          <w:iCs/>
          <w:sz w:val="22"/>
          <w:szCs w:val="22"/>
        </w:rPr>
      </w:pPr>
    </w:p>
    <w:p w14:paraId="58FB1597" w14:textId="77777777" w:rsidR="004422FF" w:rsidRPr="004422FF" w:rsidRDefault="004422FF" w:rsidP="004422FF">
      <w:pPr>
        <w:autoSpaceDE w:val="0"/>
        <w:autoSpaceDN w:val="0"/>
        <w:adjustRightInd w:val="0"/>
        <w:spacing w:line="360" w:lineRule="auto"/>
        <w:rPr>
          <w:rFonts w:ascii="Tahoma" w:hAnsi="Tahoma" w:cs="Tahoma"/>
          <w:b/>
          <w:sz w:val="22"/>
          <w:szCs w:val="22"/>
        </w:rPr>
      </w:pPr>
    </w:p>
    <w:p w14:paraId="33DE2B0B" w14:textId="77777777" w:rsidR="00AA6B0B" w:rsidRPr="004422FF" w:rsidRDefault="00AA6B0B" w:rsidP="00AA6B0B">
      <w:pPr>
        <w:autoSpaceDE w:val="0"/>
        <w:autoSpaceDN w:val="0"/>
        <w:adjustRightInd w:val="0"/>
        <w:spacing w:line="360" w:lineRule="auto"/>
        <w:rPr>
          <w:rFonts w:ascii="Tahoma" w:hAnsi="Tahoma" w:cs="Tahoma"/>
          <w:b/>
          <w:color w:val="000000"/>
          <w:sz w:val="22"/>
          <w:szCs w:val="22"/>
        </w:rPr>
      </w:pPr>
    </w:p>
    <w:p w14:paraId="66074669" w14:textId="77777777" w:rsidR="008F49DE" w:rsidRPr="004422FF" w:rsidRDefault="008F49DE" w:rsidP="00AA6B0B">
      <w:pPr>
        <w:autoSpaceDE w:val="0"/>
        <w:autoSpaceDN w:val="0"/>
        <w:adjustRightInd w:val="0"/>
        <w:spacing w:line="360" w:lineRule="auto"/>
        <w:rPr>
          <w:rFonts w:ascii="Tahoma" w:hAnsi="Tahoma" w:cs="Tahoma"/>
          <w:b/>
          <w:color w:val="000000"/>
          <w:sz w:val="22"/>
          <w:szCs w:val="22"/>
        </w:rPr>
      </w:pPr>
    </w:p>
    <w:p w14:paraId="2C74DFBD" w14:textId="6465E053" w:rsidR="00B11F92" w:rsidRPr="004422FF" w:rsidRDefault="00B11F92" w:rsidP="00B11F92">
      <w:pPr>
        <w:autoSpaceDE w:val="0"/>
        <w:autoSpaceDN w:val="0"/>
        <w:adjustRightInd w:val="0"/>
        <w:spacing w:line="360" w:lineRule="auto"/>
        <w:rPr>
          <w:rFonts w:ascii="Tahoma" w:hAnsi="Tahoma" w:cs="Tahoma"/>
          <w:color w:val="000000"/>
          <w:sz w:val="22"/>
          <w:szCs w:val="22"/>
        </w:rPr>
      </w:pPr>
    </w:p>
    <w:p w14:paraId="525A2A48" w14:textId="77777777" w:rsidR="00B11F92" w:rsidRPr="004422FF" w:rsidRDefault="00B11F92" w:rsidP="004422FF">
      <w:pPr>
        <w:autoSpaceDE w:val="0"/>
        <w:autoSpaceDN w:val="0"/>
        <w:adjustRightInd w:val="0"/>
        <w:spacing w:line="360" w:lineRule="auto"/>
        <w:rPr>
          <w:rFonts w:ascii="Tahoma" w:hAnsi="Tahoma" w:cs="Tahoma"/>
          <w:b/>
          <w:sz w:val="22"/>
          <w:szCs w:val="22"/>
        </w:rPr>
      </w:pPr>
    </w:p>
    <w:p w14:paraId="78D7C158" w14:textId="77777777" w:rsidR="000B2B37" w:rsidRPr="004422FF" w:rsidRDefault="000B2B37" w:rsidP="00B11F92">
      <w:pPr>
        <w:autoSpaceDE w:val="0"/>
        <w:autoSpaceDN w:val="0"/>
        <w:adjustRightInd w:val="0"/>
        <w:spacing w:line="360" w:lineRule="auto"/>
        <w:rPr>
          <w:rFonts w:ascii="Tahoma" w:hAnsi="Tahoma" w:cs="Tahoma"/>
          <w:sz w:val="22"/>
          <w:szCs w:val="22"/>
        </w:rPr>
      </w:pPr>
    </w:p>
    <w:p w14:paraId="6193BEDB" w14:textId="705E9DC7" w:rsidR="001B67BB" w:rsidRPr="001B67BB" w:rsidRDefault="001B67BB" w:rsidP="002C55CE">
      <w:pPr>
        <w:autoSpaceDE w:val="0"/>
        <w:autoSpaceDN w:val="0"/>
        <w:adjustRightInd w:val="0"/>
        <w:spacing w:line="360" w:lineRule="auto"/>
        <w:rPr>
          <w:rFonts w:ascii="Tahoma" w:hAnsi="Tahoma" w:cs="Tahoma"/>
          <w:sz w:val="22"/>
          <w:szCs w:val="22"/>
        </w:rPr>
      </w:pPr>
      <w:r>
        <w:rPr>
          <w:rFonts w:ascii="Tahoma" w:hAnsi="Tahoma" w:cs="Tahoma"/>
          <w:sz w:val="22"/>
          <w:szCs w:val="22"/>
        </w:rPr>
        <w:t xml:space="preserve"> </w:t>
      </w:r>
    </w:p>
    <w:p w14:paraId="651C43EC" w14:textId="54F6F9B0" w:rsidR="001B67BB" w:rsidRPr="001B67BB" w:rsidRDefault="001B67BB" w:rsidP="002C55CE">
      <w:pPr>
        <w:autoSpaceDE w:val="0"/>
        <w:autoSpaceDN w:val="0"/>
        <w:adjustRightInd w:val="0"/>
        <w:spacing w:line="360" w:lineRule="auto"/>
        <w:rPr>
          <w:rFonts w:ascii="Tahoma" w:hAnsi="Tahoma" w:cs="Tahoma"/>
          <w:b/>
          <w:sz w:val="22"/>
          <w:szCs w:val="22"/>
        </w:rPr>
      </w:pPr>
    </w:p>
    <w:sectPr w:rsidR="001B67BB" w:rsidRPr="001B67BB">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CCCC7" w14:textId="77777777" w:rsidR="007451DD" w:rsidRDefault="007451DD" w:rsidP="001224D7">
      <w:r>
        <w:separator/>
      </w:r>
    </w:p>
  </w:endnote>
  <w:endnote w:type="continuationSeparator" w:id="0">
    <w:p w14:paraId="68F1DFBB" w14:textId="77777777" w:rsidR="007451DD" w:rsidRDefault="007451DD" w:rsidP="00122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54980"/>
      <w:docPartObj>
        <w:docPartGallery w:val="Page Numbers (Bottom of Page)"/>
        <w:docPartUnique/>
      </w:docPartObj>
    </w:sdtPr>
    <w:sdtEndPr>
      <w:rPr>
        <w:noProof/>
      </w:rPr>
    </w:sdtEndPr>
    <w:sdtContent>
      <w:p w14:paraId="7A279FA6" w14:textId="5DE16F2B" w:rsidR="00160562" w:rsidRDefault="00160562">
        <w:pPr>
          <w:pStyle w:val="Footer"/>
        </w:pPr>
        <w:r>
          <w:fldChar w:fldCharType="begin"/>
        </w:r>
        <w:r>
          <w:instrText xml:space="preserve"> PAGE   \* MERGEFORMAT </w:instrText>
        </w:r>
        <w:r>
          <w:fldChar w:fldCharType="separate"/>
        </w:r>
        <w:r>
          <w:rPr>
            <w:noProof/>
          </w:rPr>
          <w:t>2</w:t>
        </w:r>
        <w:r>
          <w:rPr>
            <w:noProof/>
          </w:rPr>
          <w:fldChar w:fldCharType="end"/>
        </w:r>
      </w:p>
    </w:sdtContent>
  </w:sdt>
  <w:p w14:paraId="5C4E97BE" w14:textId="77777777" w:rsidR="00160562" w:rsidRDefault="001605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878DB" w14:textId="77777777" w:rsidR="007451DD" w:rsidRDefault="007451DD" w:rsidP="001224D7">
      <w:r>
        <w:separator/>
      </w:r>
    </w:p>
  </w:footnote>
  <w:footnote w:type="continuationSeparator" w:id="0">
    <w:p w14:paraId="45633BD0" w14:textId="77777777" w:rsidR="007451DD" w:rsidRDefault="007451DD" w:rsidP="001224D7">
      <w:r>
        <w:continuationSeparator/>
      </w:r>
    </w:p>
  </w:footnote>
  <w:footnote w:id="1">
    <w:p w14:paraId="085C4BEA" w14:textId="5A96C243" w:rsidR="001224D7" w:rsidRDefault="001224D7">
      <w:pPr>
        <w:pStyle w:val="FootnoteText"/>
      </w:pPr>
      <w:r>
        <w:rPr>
          <w:rStyle w:val="FootnoteReference"/>
        </w:rPr>
        <w:footnoteRef/>
      </w:r>
      <w:r>
        <w:t xml:space="preserve"> </w:t>
      </w:r>
      <w:r>
        <w:rPr>
          <w:rFonts w:ascii="TimesNewRomanPSMT" w:hAnsi="TimesNewRomanPSMT" w:cs="TimesNewRomanPSMT"/>
        </w:rPr>
        <w:t>47 CFR § 54.202</w:t>
      </w:r>
    </w:p>
  </w:footnote>
  <w:footnote w:id="2">
    <w:p w14:paraId="687592F3" w14:textId="77777777" w:rsidR="00BE3420" w:rsidRDefault="00BE3420" w:rsidP="00BE3420">
      <w:pPr>
        <w:autoSpaceDE w:val="0"/>
        <w:autoSpaceDN w:val="0"/>
        <w:adjustRightInd w:val="0"/>
        <w:rPr>
          <w:rFonts w:ascii="TimesNewRomanPSMT" w:hAnsi="TimesNewRomanPSMT" w:cs="TimesNewRomanPSMT"/>
          <w:sz w:val="20"/>
          <w:szCs w:val="20"/>
        </w:rPr>
      </w:pPr>
      <w:r>
        <w:rPr>
          <w:rStyle w:val="FootnoteReference"/>
        </w:rPr>
        <w:footnoteRef/>
      </w:r>
      <w:r>
        <w:t xml:space="preserve"> </w:t>
      </w:r>
      <w:r>
        <w:rPr>
          <w:rFonts w:ascii="TimesNewRomanPS-ItalicMT" w:hAnsi="TimesNewRomanPS-ItalicMT" w:cs="TimesNewRomanPS-ItalicMT"/>
          <w:i/>
          <w:iCs/>
          <w:sz w:val="20"/>
          <w:szCs w:val="20"/>
        </w:rPr>
        <w:t>2016 Rate-of-Return Reform Order</w:t>
      </w:r>
      <w:r>
        <w:rPr>
          <w:rFonts w:ascii="TimesNewRomanPSMT" w:hAnsi="TimesNewRomanPSMT" w:cs="TimesNewRomanPSMT"/>
          <w:sz w:val="20"/>
          <w:szCs w:val="20"/>
        </w:rPr>
        <w:t>, 31 FCC at 3166, 3168, paras. 216, 220 (eliminating five-year plan and related</w:t>
      </w:r>
    </w:p>
    <w:p w14:paraId="01937562" w14:textId="77777777" w:rsidR="00BE3420" w:rsidRDefault="00BE3420" w:rsidP="00BE3420">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 xml:space="preserve">progress reports for rate-of-return and price-cap carriers); </w:t>
      </w:r>
      <w:r>
        <w:rPr>
          <w:rFonts w:ascii="TimesNewRomanPS-ItalicMT" w:hAnsi="TimesNewRomanPS-ItalicMT" w:cs="TimesNewRomanPS-ItalicMT"/>
          <w:i/>
          <w:iCs/>
          <w:sz w:val="20"/>
          <w:szCs w:val="20"/>
        </w:rPr>
        <w:t>Connect America Fund et al</w:t>
      </w:r>
      <w:r>
        <w:rPr>
          <w:rFonts w:ascii="TimesNewRomanPSMT" w:hAnsi="TimesNewRomanPSMT" w:cs="TimesNewRomanPSMT"/>
          <w:sz w:val="20"/>
          <w:szCs w:val="20"/>
        </w:rPr>
        <w:t>., Report and Order and</w:t>
      </w:r>
    </w:p>
    <w:p w14:paraId="110AE2CF" w14:textId="77777777" w:rsidR="00BE3420" w:rsidRDefault="00BE3420" w:rsidP="00BE3420">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Further Notice of Proposed Rulemaking, WC Docket Nos. 10-90, 14-58, 29 FCC Rcd 8769, 8801, 8095, para. 77</w:t>
      </w:r>
    </w:p>
    <w:p w14:paraId="4481C592" w14:textId="69ABC723" w:rsidR="00BE3420" w:rsidRDefault="00BE3420" w:rsidP="00BE3420">
      <w:pPr>
        <w:pStyle w:val="FootnoteText"/>
      </w:pPr>
      <w:r>
        <w:rPr>
          <w:rFonts w:ascii="TimesNewRomanPSMT" w:hAnsi="TimesNewRomanPSMT" w:cs="TimesNewRomanPSMT"/>
        </w:rPr>
        <w:t>(2014) (eliminating five-year plan requirement for recipients of rural broadband experiment support)</w:t>
      </w:r>
    </w:p>
  </w:footnote>
  <w:footnote w:id="3">
    <w:p w14:paraId="1517BF6A" w14:textId="77777777" w:rsidR="004131EA" w:rsidRDefault="00D64142" w:rsidP="004131EA">
      <w:pPr>
        <w:autoSpaceDE w:val="0"/>
        <w:autoSpaceDN w:val="0"/>
        <w:adjustRightInd w:val="0"/>
        <w:rPr>
          <w:rFonts w:ascii="TimesNewRomanPSMT" w:hAnsi="TimesNewRomanPSMT" w:cs="TimesNewRomanPSMT"/>
          <w:sz w:val="20"/>
          <w:szCs w:val="20"/>
        </w:rPr>
      </w:pPr>
      <w:r>
        <w:rPr>
          <w:rStyle w:val="FootnoteReference"/>
        </w:rPr>
        <w:footnoteRef/>
      </w:r>
      <w:r>
        <w:t xml:space="preserve"> </w:t>
      </w:r>
      <w:r w:rsidR="004131EA">
        <w:rPr>
          <w:rFonts w:ascii="TimesNewRomanPSMT" w:hAnsi="TimesNewRomanPSMT" w:cs="TimesNewRomanPSMT"/>
          <w:sz w:val="20"/>
          <w:szCs w:val="20"/>
        </w:rPr>
        <w:t>Generally, the Commission’s rules may be waived if good cause is shown. 47 CFR § 1.3. The Commission may</w:t>
      </w:r>
    </w:p>
    <w:p w14:paraId="4B17147B" w14:textId="77777777" w:rsidR="004131EA" w:rsidRDefault="004131EA" w:rsidP="004131EA">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exercise its discretion to waive a rule where the particular facts make strict compliance inconsistent with the public</w:t>
      </w:r>
    </w:p>
    <w:p w14:paraId="4F799DC1" w14:textId="77777777" w:rsidR="004131EA" w:rsidRDefault="004131EA" w:rsidP="004131EA">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 xml:space="preserve">interest. </w:t>
      </w:r>
      <w:r>
        <w:rPr>
          <w:rFonts w:ascii="TimesNewRomanPS-ItalicMT" w:hAnsi="TimesNewRomanPS-ItalicMT" w:cs="TimesNewRomanPS-ItalicMT"/>
          <w:i/>
          <w:iCs/>
          <w:sz w:val="20"/>
          <w:szCs w:val="20"/>
        </w:rPr>
        <w:t xml:space="preserve">Ne. Cellular Tel. Co. v. FCC, </w:t>
      </w:r>
      <w:r>
        <w:rPr>
          <w:rFonts w:ascii="TimesNewRomanPSMT" w:hAnsi="TimesNewRomanPSMT" w:cs="TimesNewRomanPSMT"/>
          <w:sz w:val="20"/>
          <w:szCs w:val="20"/>
        </w:rPr>
        <w:t>897 F.2d 1164, 1166 (D.C. Cir. 1990). In addition, the Commission may</w:t>
      </w:r>
    </w:p>
    <w:p w14:paraId="07A5E49C" w14:textId="77777777" w:rsidR="004131EA" w:rsidRDefault="004131EA" w:rsidP="004131EA">
      <w:pPr>
        <w:autoSpaceDE w:val="0"/>
        <w:autoSpaceDN w:val="0"/>
        <w:adjustRightInd w:val="0"/>
        <w:rPr>
          <w:rFonts w:ascii="TimesNewRomanPS-ItalicMT" w:hAnsi="TimesNewRomanPS-ItalicMT" w:cs="TimesNewRomanPS-ItalicMT"/>
          <w:i/>
          <w:iCs/>
          <w:sz w:val="20"/>
          <w:szCs w:val="20"/>
        </w:rPr>
      </w:pPr>
      <w:r>
        <w:rPr>
          <w:rFonts w:ascii="TimesNewRomanPSMT" w:hAnsi="TimesNewRomanPSMT" w:cs="TimesNewRomanPSMT"/>
          <w:sz w:val="20"/>
          <w:szCs w:val="20"/>
        </w:rPr>
        <w:t xml:space="preserve">consider issues of hardship, equity, or more effective implementation of overall policy on an individual basis. </w:t>
      </w:r>
      <w:r>
        <w:rPr>
          <w:rFonts w:ascii="TimesNewRomanPS-ItalicMT" w:hAnsi="TimesNewRomanPS-ItalicMT" w:cs="TimesNewRomanPS-ItalicMT"/>
          <w:i/>
          <w:iCs/>
          <w:sz w:val="20"/>
          <w:szCs w:val="20"/>
        </w:rPr>
        <w:t>WAIT</w:t>
      </w:r>
    </w:p>
    <w:p w14:paraId="4909A88B" w14:textId="07818159" w:rsidR="004131EA" w:rsidRDefault="004131EA" w:rsidP="004131EA">
      <w:pPr>
        <w:autoSpaceDE w:val="0"/>
        <w:autoSpaceDN w:val="0"/>
        <w:adjustRightInd w:val="0"/>
        <w:rPr>
          <w:rFonts w:ascii="TimesNewRomanPSMT" w:hAnsi="TimesNewRomanPSMT" w:cs="TimesNewRomanPSMT"/>
          <w:sz w:val="20"/>
          <w:szCs w:val="20"/>
        </w:rPr>
      </w:pPr>
      <w:r>
        <w:rPr>
          <w:rFonts w:ascii="TimesNewRomanPS-ItalicMT" w:hAnsi="TimesNewRomanPS-ItalicMT" w:cs="TimesNewRomanPS-ItalicMT"/>
          <w:i/>
          <w:iCs/>
          <w:sz w:val="20"/>
          <w:szCs w:val="20"/>
        </w:rPr>
        <w:t>Radio v. FCC</w:t>
      </w:r>
      <w:r>
        <w:rPr>
          <w:rFonts w:ascii="TimesNewRomanPSMT" w:hAnsi="TimesNewRomanPSMT" w:cs="TimesNewRomanPSMT"/>
          <w:sz w:val="20"/>
          <w:szCs w:val="20"/>
        </w:rPr>
        <w:t xml:space="preserve">, 418 F.2d 1153, 1159 (D.C. Cir. 1969); </w:t>
      </w:r>
      <w:r>
        <w:rPr>
          <w:rFonts w:ascii="TimesNewRomanPS-ItalicMT" w:hAnsi="TimesNewRomanPS-ItalicMT" w:cs="TimesNewRomanPS-ItalicMT"/>
          <w:i/>
          <w:iCs/>
          <w:sz w:val="20"/>
          <w:szCs w:val="20"/>
        </w:rPr>
        <w:t>Ne. Cellular</w:t>
      </w:r>
      <w:r>
        <w:rPr>
          <w:rFonts w:ascii="TimesNewRomanPSMT" w:hAnsi="TimesNewRomanPSMT" w:cs="TimesNewRomanPSMT"/>
          <w:sz w:val="20"/>
          <w:szCs w:val="20"/>
        </w:rPr>
        <w:t>, 897 F.2d at 1166. Waiver of the Commission’s</w:t>
      </w:r>
      <w:r w:rsidR="008F49DE">
        <w:rPr>
          <w:rFonts w:ascii="TimesNewRomanPSMT" w:hAnsi="TimesNewRomanPSMT" w:cs="TimesNewRomanPSMT"/>
          <w:sz w:val="20"/>
          <w:szCs w:val="20"/>
        </w:rPr>
        <w:t xml:space="preserve"> </w:t>
      </w:r>
      <w:r>
        <w:rPr>
          <w:rFonts w:ascii="TimesNewRomanPSMT" w:hAnsi="TimesNewRomanPSMT" w:cs="TimesNewRomanPSMT"/>
          <w:sz w:val="20"/>
          <w:szCs w:val="20"/>
        </w:rPr>
        <w:t xml:space="preserve">rules is appropriate only if both (i) special circumstances warrant a deviation from the general rule, and (ii) </w:t>
      </w:r>
      <w:proofErr w:type="spellStart"/>
      <w:r>
        <w:rPr>
          <w:rFonts w:ascii="TimesNewRomanPSMT" w:hAnsi="TimesNewRomanPSMT" w:cs="TimesNewRomanPSMT"/>
          <w:sz w:val="20"/>
          <w:szCs w:val="20"/>
        </w:rPr>
        <w:t>suchdeviation</w:t>
      </w:r>
      <w:proofErr w:type="spellEnd"/>
      <w:r>
        <w:rPr>
          <w:rFonts w:ascii="TimesNewRomanPSMT" w:hAnsi="TimesNewRomanPSMT" w:cs="TimesNewRomanPSMT"/>
          <w:sz w:val="20"/>
          <w:szCs w:val="20"/>
        </w:rPr>
        <w:t xml:space="preserve"> will serve the public interest. </w:t>
      </w:r>
      <w:r>
        <w:rPr>
          <w:rFonts w:ascii="TimesNewRomanPS-ItalicMT" w:hAnsi="TimesNewRomanPS-ItalicMT" w:cs="TimesNewRomanPS-ItalicMT"/>
          <w:i/>
          <w:iCs/>
          <w:sz w:val="20"/>
          <w:szCs w:val="20"/>
        </w:rPr>
        <w:t>NetworkIP, LLC v. FCC</w:t>
      </w:r>
      <w:r>
        <w:rPr>
          <w:rFonts w:ascii="TimesNewRomanPSMT" w:hAnsi="TimesNewRomanPSMT" w:cs="TimesNewRomanPSMT"/>
          <w:sz w:val="20"/>
          <w:szCs w:val="20"/>
        </w:rPr>
        <w:t xml:space="preserve">, 548 F.3d 116, 125-128 (D.C. Cir. 2008); </w:t>
      </w:r>
      <w:r>
        <w:rPr>
          <w:rFonts w:ascii="TimesNewRomanPS-ItalicMT" w:hAnsi="TimesNewRomanPS-ItalicMT" w:cs="TimesNewRomanPS-ItalicMT"/>
          <w:i/>
          <w:iCs/>
          <w:sz w:val="20"/>
          <w:szCs w:val="20"/>
        </w:rPr>
        <w:t>Ne.Cellular</w:t>
      </w:r>
      <w:r>
        <w:rPr>
          <w:rFonts w:ascii="TimesNewRomanPSMT" w:hAnsi="TimesNewRomanPSMT" w:cs="TimesNewRomanPSMT"/>
          <w:sz w:val="20"/>
          <w:szCs w:val="20"/>
        </w:rPr>
        <w:t>, 897 F.2d at 1166.</w:t>
      </w:r>
    </w:p>
    <w:p w14:paraId="645EAB7C" w14:textId="2E14DF63" w:rsidR="00D64142" w:rsidRDefault="00D64142" w:rsidP="004131EA">
      <w:pPr>
        <w:pStyle w:val="FootnoteText"/>
      </w:pPr>
    </w:p>
  </w:footnote>
  <w:footnote w:id="4">
    <w:p w14:paraId="584FD2D6" w14:textId="7BE49CF2" w:rsidR="004131EA" w:rsidRDefault="004131EA">
      <w:pPr>
        <w:pStyle w:val="FootnoteText"/>
      </w:pPr>
      <w:r>
        <w:rPr>
          <w:rStyle w:val="FootnoteReference"/>
        </w:rPr>
        <w:footnoteRef/>
      </w:r>
      <w:r>
        <w:t xml:space="preserve"> </w:t>
      </w:r>
      <w:r>
        <w:rPr>
          <w:rFonts w:ascii="TimesNewRomanPSMT" w:hAnsi="TimesNewRomanPSMT" w:cs="TimesNewRomanPSMT"/>
        </w:rPr>
        <w:t>47 CFR § 54.202(a)(1)(i).</w:t>
      </w:r>
    </w:p>
  </w:footnote>
  <w:footnote w:id="5">
    <w:p w14:paraId="2DE82C96" w14:textId="028A2114" w:rsidR="004131EA" w:rsidRDefault="004131EA" w:rsidP="004131EA">
      <w:pPr>
        <w:autoSpaceDE w:val="0"/>
        <w:autoSpaceDN w:val="0"/>
        <w:adjustRightInd w:val="0"/>
      </w:pPr>
      <w:r>
        <w:rPr>
          <w:rStyle w:val="FootnoteReference"/>
        </w:rPr>
        <w:footnoteRef/>
      </w:r>
      <w:r>
        <w:t xml:space="preserve"> </w:t>
      </w:r>
      <w:r>
        <w:rPr>
          <w:rFonts w:ascii="TimesNewRomanPSMT" w:hAnsi="TimesNewRomanPSMT" w:cs="TimesNewRomanPSMT"/>
          <w:sz w:val="13"/>
          <w:szCs w:val="13"/>
        </w:rPr>
        <w:t xml:space="preserve">36 </w:t>
      </w:r>
      <w:r>
        <w:rPr>
          <w:rFonts w:ascii="TimesNewRomanPS-ItalicMT" w:hAnsi="TimesNewRomanPS-ItalicMT" w:cs="TimesNewRomanPS-ItalicMT"/>
          <w:i/>
          <w:iCs/>
          <w:sz w:val="20"/>
          <w:szCs w:val="20"/>
        </w:rPr>
        <w:t>Id</w:t>
      </w:r>
      <w:r>
        <w:rPr>
          <w:rFonts w:ascii="TimesNewRomanPSMT" w:hAnsi="TimesNewRomanPSMT" w:cs="TimesNewRomanPSMT"/>
          <w:sz w:val="20"/>
          <w:szCs w:val="20"/>
        </w:rPr>
        <w:t>. § 54.202(a)(2) (requiring a petitioner seeking an FCC ETC designation to “[d]</w:t>
      </w:r>
      <w:r w:rsidR="00B018AB">
        <w:rPr>
          <w:rFonts w:ascii="TimesNewRomanPSMT" w:hAnsi="TimesNewRomanPSMT" w:cs="TimesNewRomanPSMT"/>
          <w:sz w:val="20"/>
          <w:szCs w:val="20"/>
        </w:rPr>
        <w:t>demonstrate</w:t>
      </w:r>
      <w:r>
        <w:rPr>
          <w:rFonts w:ascii="TimesNewRomanPSMT" w:hAnsi="TimesNewRomanPSMT" w:cs="TimesNewRomanPSMT"/>
          <w:sz w:val="20"/>
          <w:szCs w:val="20"/>
        </w:rPr>
        <w:t xml:space="preserve"> its ability to remain functional in emergency situations, including a demonstration that it has a reasonable amount of back-up power to ensure functionality without an external power source, is able to reroute traffic around damaged facilities, and is capable of managing traffic spikes resulting from emergency situations”).</w:t>
      </w:r>
    </w:p>
  </w:footnote>
  <w:footnote w:id="6">
    <w:p w14:paraId="51443730" w14:textId="45B5A55D" w:rsidR="008F49DE" w:rsidRDefault="008F49DE" w:rsidP="000C6E78">
      <w:pPr>
        <w:pStyle w:val="FootnoteText"/>
        <w:spacing w:line="360" w:lineRule="auto"/>
      </w:pPr>
      <w:r>
        <w:rPr>
          <w:rStyle w:val="FootnoteReference"/>
        </w:rPr>
        <w:footnoteRef/>
      </w:r>
      <w:r>
        <w:t xml:space="preserve"> </w:t>
      </w:r>
      <w:r>
        <w:rPr>
          <w:rFonts w:ascii="TimesNewRomanPS-ItalicMT" w:hAnsi="TimesNewRomanPS-ItalicMT" w:cs="TimesNewRomanPS-ItalicMT"/>
          <w:i/>
          <w:iCs/>
        </w:rPr>
        <w:t>Id</w:t>
      </w:r>
      <w:r>
        <w:rPr>
          <w:rFonts w:ascii="TimesNewRomanPSMT" w:hAnsi="TimesNewRomanPSMT" w:cs="TimesNewRomanPSMT"/>
        </w:rPr>
        <w:t>. § 1.2002.</w:t>
      </w:r>
    </w:p>
  </w:footnote>
  <w:footnote w:id="7">
    <w:p w14:paraId="7120DD5A" w14:textId="5430FDC3" w:rsidR="000C6E78" w:rsidRDefault="000C6E78">
      <w:pPr>
        <w:pStyle w:val="FootnoteText"/>
      </w:pPr>
      <w:r>
        <w:rPr>
          <w:rStyle w:val="FootnoteReference"/>
        </w:rPr>
        <w:footnoteRef/>
      </w:r>
      <w:r>
        <w:t xml:space="preserve"> </w:t>
      </w:r>
      <w:r>
        <w:rPr>
          <w:rFonts w:ascii="TimesNewRomanPSMT" w:hAnsi="TimesNewRomanPSMT" w:cs="TimesNewRomanPSMT"/>
        </w:rPr>
        <w:t xml:space="preserve">47 CFR § 54.313(h)(2)(i); </w:t>
      </w:r>
      <w:r>
        <w:rPr>
          <w:rFonts w:ascii="TimesNewRomanPS-ItalicMT" w:hAnsi="TimesNewRomanPS-ItalicMT" w:cs="TimesNewRomanPS-ItalicMT"/>
          <w:i/>
          <w:iCs/>
        </w:rPr>
        <w:t>Id</w:t>
      </w:r>
      <w:r>
        <w:rPr>
          <w:rFonts w:ascii="TimesNewRomanPSMT" w:hAnsi="TimesNewRomanPSMT" w:cs="TimesNewRomanPSMT"/>
        </w:rPr>
        <w:t>. § 54.313(j).</w:t>
      </w:r>
    </w:p>
  </w:footnote>
  <w:footnote w:id="8">
    <w:p w14:paraId="2885E8F1" w14:textId="77777777" w:rsidR="000C6E78" w:rsidRDefault="000C6E78" w:rsidP="000C6E78">
      <w:pPr>
        <w:autoSpaceDE w:val="0"/>
        <w:autoSpaceDN w:val="0"/>
        <w:adjustRightInd w:val="0"/>
        <w:rPr>
          <w:rFonts w:ascii="TimesNewRomanPSMT" w:hAnsi="TimesNewRomanPSMT" w:cs="TimesNewRomanPSMT"/>
          <w:sz w:val="20"/>
          <w:szCs w:val="20"/>
        </w:rPr>
      </w:pPr>
      <w:r>
        <w:rPr>
          <w:rStyle w:val="FootnoteReference"/>
        </w:rPr>
        <w:footnoteRef/>
      </w:r>
      <w:r>
        <w:t xml:space="preserve"> </w:t>
      </w:r>
      <w:r>
        <w:rPr>
          <w:rFonts w:ascii="TimesNewRomanPS-ItalicMT" w:hAnsi="TimesNewRomanPS-ItalicMT" w:cs="TimesNewRomanPS-ItalicMT"/>
          <w:i/>
          <w:iCs/>
          <w:sz w:val="20"/>
          <w:szCs w:val="20"/>
        </w:rPr>
        <w:t>ETC Reporting Obligations Elimination Order</w:t>
      </w:r>
      <w:r>
        <w:rPr>
          <w:rFonts w:ascii="TimesNewRomanPSMT" w:hAnsi="TimesNewRomanPSMT" w:cs="TimesNewRomanPSMT"/>
          <w:sz w:val="20"/>
          <w:szCs w:val="20"/>
        </w:rPr>
        <w:t>, 32 FCC Rcd at 5948, para. 15 (determining that the Commission</w:t>
      </w:r>
    </w:p>
    <w:p w14:paraId="344621F2" w14:textId="77777777" w:rsidR="000C6E78" w:rsidRDefault="000C6E78" w:rsidP="000C6E78">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“will no longer require ETCs to file duplicate copies of Form 481 with the FCC and with states, U.S. Territories,</w:t>
      </w:r>
    </w:p>
    <w:p w14:paraId="6C67276C" w14:textId="019103D4" w:rsidR="000C6E78" w:rsidRDefault="000C6E78" w:rsidP="000C6E78">
      <w:pPr>
        <w:pStyle w:val="FootnoteText"/>
      </w:pPr>
      <w:r>
        <w:rPr>
          <w:rFonts w:ascii="TimesNewRomanPSMT" w:hAnsi="TimesNewRomanPSMT" w:cs="TimesNewRomanPSMT"/>
        </w:rPr>
        <w:t>and/or Tribal governments beginning in 2018”); 47 CFR § 54.313.</w:t>
      </w:r>
    </w:p>
  </w:footnote>
  <w:footnote w:id="9">
    <w:p w14:paraId="7BAE02E3" w14:textId="77777777" w:rsidR="000C6E78" w:rsidRDefault="000C6E78" w:rsidP="000C6E78">
      <w:pPr>
        <w:autoSpaceDE w:val="0"/>
        <w:autoSpaceDN w:val="0"/>
        <w:adjustRightInd w:val="0"/>
        <w:rPr>
          <w:rFonts w:ascii="TimesNewRomanPSMT" w:hAnsi="TimesNewRomanPSMT" w:cs="TimesNewRomanPSMT"/>
          <w:color w:val="000000"/>
          <w:sz w:val="20"/>
          <w:szCs w:val="20"/>
        </w:rPr>
      </w:pPr>
      <w:r>
        <w:rPr>
          <w:rStyle w:val="FootnoteReference"/>
        </w:rPr>
        <w:footnoteRef/>
      </w:r>
      <w:r>
        <w:t xml:space="preserve"> </w:t>
      </w:r>
      <w:r>
        <w:rPr>
          <w:rFonts w:ascii="TimesNewRomanPS-ItalicMT" w:hAnsi="TimesNewRomanPS-ItalicMT" w:cs="TimesNewRomanPS-ItalicMT"/>
          <w:i/>
          <w:iCs/>
          <w:color w:val="000000"/>
          <w:sz w:val="20"/>
          <w:szCs w:val="20"/>
        </w:rPr>
        <w:t xml:space="preserve">See </w:t>
      </w:r>
      <w:r>
        <w:rPr>
          <w:rFonts w:ascii="TimesNewRomanPSMT" w:hAnsi="TimesNewRomanPSMT" w:cs="TimesNewRomanPSMT"/>
          <w:color w:val="000000"/>
          <w:sz w:val="20"/>
          <w:szCs w:val="20"/>
        </w:rPr>
        <w:t>Universal Service Administrative Company High Cost Forms, Form 481,</w:t>
      </w:r>
    </w:p>
    <w:p w14:paraId="5DB1C4E2" w14:textId="77777777" w:rsidR="000C6E78" w:rsidRDefault="000C6E78" w:rsidP="000C6E78">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FF"/>
          <w:sz w:val="20"/>
          <w:szCs w:val="20"/>
        </w:rPr>
        <w:t>http://www.usac.org/hc/tools/forms.aspx</w:t>
      </w:r>
      <w:r>
        <w:rPr>
          <w:rFonts w:ascii="TimesNewRomanPSMT" w:hAnsi="TimesNewRomanPSMT" w:cs="TimesNewRomanPSMT"/>
          <w:color w:val="000000"/>
          <w:sz w:val="20"/>
          <w:szCs w:val="20"/>
        </w:rPr>
        <w:t>; Instructions for Completing FCC Form 481,</w:t>
      </w:r>
    </w:p>
    <w:p w14:paraId="78C99E94" w14:textId="07DB0D36" w:rsidR="000C6E78" w:rsidRDefault="000C6E78" w:rsidP="000C6E78">
      <w:pPr>
        <w:pStyle w:val="FootnoteText"/>
      </w:pPr>
      <w:r>
        <w:rPr>
          <w:rFonts w:ascii="TimesNewRomanPSMT" w:hAnsi="TimesNewRomanPSMT" w:cs="TimesNewRomanPSMT"/>
          <w:color w:val="0000FF"/>
        </w:rPr>
        <w:t>http://www.usac.org/_res/documents/hc/pdf/forms/FCC-Form-481-Instructions.pdf</w:t>
      </w:r>
    </w:p>
  </w:footnote>
  <w:footnote w:id="10">
    <w:p w14:paraId="6B668E90" w14:textId="6E0EDFB5" w:rsidR="000C6E78" w:rsidRDefault="000C6E78">
      <w:pPr>
        <w:pStyle w:val="FootnoteText"/>
      </w:pPr>
      <w:r>
        <w:rPr>
          <w:rStyle w:val="FootnoteReference"/>
        </w:rPr>
        <w:footnoteRef/>
      </w:r>
      <w:r>
        <w:t xml:space="preserve"> </w:t>
      </w:r>
      <w:r>
        <w:rPr>
          <w:rFonts w:ascii="TimesNewRomanPSMT" w:hAnsi="TimesNewRomanPSMT" w:cs="TimesNewRomanPSMT"/>
        </w:rPr>
        <w:t>47 CFR § 54.309.</w:t>
      </w:r>
    </w:p>
  </w:footnote>
  <w:footnote w:id="11">
    <w:p w14:paraId="4BA3B895" w14:textId="77777777" w:rsidR="000C6E78" w:rsidRDefault="000C6E78" w:rsidP="000C6E78">
      <w:pPr>
        <w:autoSpaceDE w:val="0"/>
        <w:autoSpaceDN w:val="0"/>
        <w:adjustRightInd w:val="0"/>
        <w:rPr>
          <w:rFonts w:ascii="TimesNewRomanPSMT" w:hAnsi="TimesNewRomanPSMT" w:cs="TimesNewRomanPSMT"/>
          <w:sz w:val="20"/>
          <w:szCs w:val="20"/>
        </w:rPr>
      </w:pPr>
      <w:r>
        <w:rPr>
          <w:rStyle w:val="FootnoteReference"/>
        </w:rPr>
        <w:footnoteRef/>
      </w:r>
      <w:r>
        <w:t xml:space="preserve"> </w:t>
      </w:r>
      <w:r>
        <w:rPr>
          <w:rFonts w:ascii="TimesNewRomanPS-ItalicMT" w:hAnsi="TimesNewRomanPS-ItalicMT" w:cs="TimesNewRomanPS-ItalicMT"/>
          <w:i/>
          <w:iCs/>
          <w:sz w:val="20"/>
          <w:szCs w:val="20"/>
        </w:rPr>
        <w:t>Performance Measures for Connect America High-Cost Universal Service Support Recipients</w:t>
      </w:r>
      <w:r>
        <w:rPr>
          <w:rFonts w:ascii="TimesNewRomanPSMT" w:hAnsi="TimesNewRomanPSMT" w:cs="TimesNewRomanPSMT"/>
          <w:sz w:val="20"/>
          <w:szCs w:val="20"/>
        </w:rPr>
        <w:t>, WC Docket No.</w:t>
      </w:r>
    </w:p>
    <w:p w14:paraId="62ED1481" w14:textId="77777777" w:rsidR="000C6E78" w:rsidRDefault="000C6E78" w:rsidP="000C6E78">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 xml:space="preserve">10-90, Order, DA 18-710 (WCB/WTB/OET rel. July 6, 2018); </w:t>
      </w:r>
      <w:r>
        <w:rPr>
          <w:rFonts w:ascii="TimesNewRomanPS-ItalicMT" w:hAnsi="TimesNewRomanPS-ItalicMT" w:cs="TimesNewRomanPS-ItalicMT"/>
          <w:i/>
          <w:iCs/>
          <w:sz w:val="20"/>
          <w:szCs w:val="20"/>
        </w:rPr>
        <w:t>see also Connect America Fund et al.</w:t>
      </w:r>
      <w:r>
        <w:rPr>
          <w:rFonts w:ascii="TimesNewRomanPSMT" w:hAnsi="TimesNewRomanPSMT" w:cs="TimesNewRomanPSMT"/>
          <w:sz w:val="20"/>
          <w:szCs w:val="20"/>
        </w:rPr>
        <w:t>, Order on</w:t>
      </w:r>
    </w:p>
    <w:p w14:paraId="3C3873AD" w14:textId="77777777" w:rsidR="000C6E78" w:rsidRDefault="000C6E78" w:rsidP="000C6E78">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Reconsideration, 33 FCC Rcd 1380, 1387, para. 16 (2018) (</w:t>
      </w:r>
      <w:r>
        <w:rPr>
          <w:rFonts w:ascii="TimesNewRomanPS-ItalicMT" w:hAnsi="TimesNewRomanPS-ItalicMT" w:cs="TimesNewRomanPS-ItalicMT"/>
          <w:i/>
          <w:iCs/>
          <w:sz w:val="20"/>
          <w:szCs w:val="20"/>
        </w:rPr>
        <w:t>Phase II Auction Reconsideration Order</w:t>
      </w:r>
      <w:r>
        <w:rPr>
          <w:rFonts w:ascii="TimesNewRomanPSMT" w:hAnsi="TimesNewRomanPSMT" w:cs="TimesNewRomanPSMT"/>
          <w:sz w:val="20"/>
          <w:szCs w:val="20"/>
        </w:rPr>
        <w:t>) (establishing</w:t>
      </w:r>
    </w:p>
    <w:p w14:paraId="5CBA9361" w14:textId="77777777" w:rsidR="000C6E78" w:rsidRDefault="000C6E78" w:rsidP="000C6E78">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 xml:space="preserve">general guidelines for the adoption of a performance methodology); </w:t>
      </w:r>
      <w:r>
        <w:rPr>
          <w:rFonts w:ascii="TimesNewRomanPS-ItalicMT" w:hAnsi="TimesNewRomanPS-ItalicMT" w:cs="TimesNewRomanPS-ItalicMT"/>
          <w:i/>
          <w:iCs/>
          <w:sz w:val="20"/>
          <w:szCs w:val="20"/>
        </w:rPr>
        <w:t>USF/ICC Transformation Order</w:t>
      </w:r>
      <w:r>
        <w:rPr>
          <w:rFonts w:ascii="TimesNewRomanPSMT" w:hAnsi="TimesNewRomanPSMT" w:cs="TimesNewRomanPSMT"/>
          <w:sz w:val="20"/>
          <w:szCs w:val="20"/>
        </w:rPr>
        <w:t>, 26 FCC Rcd</w:t>
      </w:r>
    </w:p>
    <w:p w14:paraId="1337AAB1" w14:textId="7CB4E0C7" w:rsidR="000C6E78" w:rsidRDefault="000C6E78" w:rsidP="000C6E78">
      <w:pPr>
        <w:pStyle w:val="FootnoteText"/>
      </w:pPr>
      <w:r>
        <w:rPr>
          <w:rFonts w:ascii="TimesNewRomanPSMT" w:hAnsi="TimesNewRomanPSMT" w:cs="TimesNewRomanPSMT"/>
        </w:rPr>
        <w:t>at 17708, para. 112; 47 CFR § 54.313(a)(6).</w:t>
      </w:r>
    </w:p>
  </w:footnote>
  <w:footnote w:id="12">
    <w:p w14:paraId="2C74F291" w14:textId="43D584DD" w:rsidR="00972D83" w:rsidRDefault="00972D83">
      <w:pPr>
        <w:pStyle w:val="FootnoteText"/>
      </w:pPr>
      <w:r>
        <w:rPr>
          <w:rStyle w:val="FootnoteReference"/>
        </w:rPr>
        <w:footnoteRef/>
      </w:r>
      <w:r>
        <w:t xml:space="preserve"> </w:t>
      </w:r>
      <w:r>
        <w:rPr>
          <w:rFonts w:ascii="TimesNewRomanPSMT" w:hAnsi="TimesNewRomanPSMT" w:cs="TimesNewRomanPSMT"/>
        </w:rPr>
        <w:t xml:space="preserve">47 CFR § 54.314. The affidavit becomes part of the public record. </w:t>
      </w:r>
      <w:r>
        <w:rPr>
          <w:rFonts w:ascii="TimesNewRomanPS-ItalicMT" w:hAnsi="TimesNewRomanPS-ItalicMT" w:cs="TimesNewRomanPS-ItalicMT"/>
          <w:i/>
          <w:iCs/>
        </w:rPr>
        <w:t>See id</w:t>
      </w:r>
      <w:r>
        <w:rPr>
          <w:rFonts w:ascii="TimesNewRomanPSMT" w:hAnsi="TimesNewRomanPSMT" w:cs="TimesNewRomanPSMT"/>
        </w:rPr>
        <w:t>.</w:t>
      </w:r>
    </w:p>
  </w:footnote>
  <w:footnote w:id="13">
    <w:p w14:paraId="448173B5" w14:textId="77777777" w:rsidR="00972D83" w:rsidRDefault="00972D83" w:rsidP="00972D83">
      <w:pPr>
        <w:autoSpaceDE w:val="0"/>
        <w:autoSpaceDN w:val="0"/>
        <w:adjustRightInd w:val="0"/>
        <w:rPr>
          <w:rFonts w:ascii="TimesNewRomanPSMT" w:hAnsi="TimesNewRomanPSMT" w:cs="TimesNewRomanPSMT"/>
          <w:sz w:val="20"/>
          <w:szCs w:val="20"/>
        </w:rPr>
      </w:pPr>
      <w:r>
        <w:rPr>
          <w:rStyle w:val="FootnoteReference"/>
        </w:rPr>
        <w:footnoteRef/>
      </w:r>
      <w:r>
        <w:t xml:space="preserve"> </w:t>
      </w:r>
      <w:r>
        <w:rPr>
          <w:rFonts w:ascii="TimesNewRomanPSMT" w:hAnsi="TimesNewRomanPSMT" w:cs="TimesNewRomanPSMT"/>
          <w:sz w:val="20"/>
          <w:szCs w:val="20"/>
        </w:rPr>
        <w:t>47 CFR § 54.314(b), (c)(2). Relevant state authorities submit certifications on behalf of the ETCs they designate.</w:t>
      </w:r>
    </w:p>
    <w:p w14:paraId="2941DD73" w14:textId="3540C4B7" w:rsidR="00972D83" w:rsidRDefault="00972D83" w:rsidP="00972D83">
      <w:pPr>
        <w:pStyle w:val="FootnoteText"/>
      </w:pPr>
      <w:r>
        <w:rPr>
          <w:rFonts w:ascii="TimesNewRomanPS-ItalicMT" w:hAnsi="TimesNewRomanPS-ItalicMT" w:cs="TimesNewRomanPS-ItalicMT"/>
          <w:i/>
          <w:iCs/>
        </w:rPr>
        <w:t>Id</w:t>
      </w:r>
      <w:r>
        <w:rPr>
          <w:rFonts w:ascii="TimesNewRomanPSMT" w:hAnsi="TimesNewRomanPSMT" w:cs="TimesNewRomanPSMT"/>
        </w:rPr>
        <w:t>. § 54.314(a).</w:t>
      </w:r>
    </w:p>
  </w:footnote>
  <w:footnote w:id="14">
    <w:p w14:paraId="27B06171" w14:textId="77777777" w:rsidR="00972D83" w:rsidRDefault="00972D83" w:rsidP="00972D83">
      <w:pPr>
        <w:autoSpaceDE w:val="0"/>
        <w:autoSpaceDN w:val="0"/>
        <w:adjustRightInd w:val="0"/>
        <w:rPr>
          <w:rFonts w:ascii="TimesNewRomanPSMT" w:hAnsi="TimesNewRomanPSMT" w:cs="TimesNewRomanPSMT"/>
          <w:color w:val="000000"/>
          <w:sz w:val="20"/>
          <w:szCs w:val="20"/>
        </w:rPr>
      </w:pPr>
      <w:r>
        <w:rPr>
          <w:rStyle w:val="FootnoteReference"/>
        </w:rPr>
        <w:footnoteRef/>
      </w:r>
      <w:r>
        <w:t xml:space="preserve"> </w:t>
      </w:r>
      <w:r>
        <w:rPr>
          <w:rFonts w:ascii="TimesNewRomanPS-ItalicMT" w:hAnsi="TimesNewRomanPS-ItalicMT" w:cs="TimesNewRomanPS-ItalicMT"/>
          <w:i/>
          <w:iCs/>
          <w:color w:val="000000"/>
          <w:sz w:val="20"/>
          <w:szCs w:val="20"/>
        </w:rPr>
        <w:t xml:space="preserve">See </w:t>
      </w:r>
      <w:r>
        <w:rPr>
          <w:rFonts w:ascii="TimesNewRomanPSMT" w:hAnsi="TimesNewRomanPSMT" w:cs="TimesNewRomanPSMT"/>
          <w:color w:val="000000"/>
          <w:sz w:val="20"/>
          <w:szCs w:val="20"/>
        </w:rPr>
        <w:t>Universal Service Administrative Company Online Filing User Guide for Section 54.314 Self-Use</w:t>
      </w:r>
    </w:p>
    <w:p w14:paraId="1C0E9F96" w14:textId="3496F003" w:rsidR="00972D83" w:rsidRDefault="00972D83" w:rsidP="00972D83">
      <w:pPr>
        <w:pStyle w:val="FootnoteText"/>
      </w:pPr>
      <w:r>
        <w:rPr>
          <w:rFonts w:ascii="TimesNewRomanPSMT" w:hAnsi="TimesNewRomanPSMT" w:cs="TimesNewRomanPSMT"/>
          <w:color w:val="000000"/>
        </w:rPr>
        <w:t xml:space="preserve">Certification, </w:t>
      </w:r>
      <w:r>
        <w:rPr>
          <w:rFonts w:ascii="TimesNewRomanPSMT" w:hAnsi="TimesNewRomanPSMT" w:cs="TimesNewRomanPSMT"/>
          <w:color w:val="0000FF"/>
        </w:rPr>
        <w:t>http://www.usac.org/_res/documents/hc/pdf/forms/Self-Certifiers-User-Guide.pdf</w:t>
      </w:r>
      <w:r>
        <w:rPr>
          <w:rFonts w:ascii="TimesNewRomanPSMT" w:hAnsi="TimesNewRomanPSMT" w:cs="TimesNewRomanPSMT"/>
          <w:color w:val="000000"/>
        </w:rPr>
        <w:t>.</w:t>
      </w:r>
    </w:p>
  </w:footnote>
  <w:footnote w:id="15">
    <w:p w14:paraId="39D5D29E" w14:textId="77777777" w:rsidR="00972D83" w:rsidRDefault="00972D83" w:rsidP="00972D83">
      <w:pPr>
        <w:autoSpaceDE w:val="0"/>
        <w:autoSpaceDN w:val="0"/>
        <w:adjustRightInd w:val="0"/>
        <w:rPr>
          <w:rFonts w:ascii="TimesNewRomanPSMT" w:hAnsi="TimesNewRomanPSMT" w:cs="TimesNewRomanPSMT"/>
          <w:color w:val="000000"/>
          <w:sz w:val="20"/>
          <w:szCs w:val="20"/>
        </w:rPr>
      </w:pPr>
      <w:r>
        <w:rPr>
          <w:rStyle w:val="FootnoteReference"/>
        </w:rPr>
        <w:footnoteRef/>
      </w:r>
      <w:r>
        <w:t xml:space="preserve"> </w:t>
      </w:r>
      <w:r>
        <w:rPr>
          <w:rFonts w:ascii="TimesNewRomanPS-ItalicMT" w:hAnsi="TimesNewRomanPS-ItalicMT" w:cs="TimesNewRomanPS-ItalicMT"/>
          <w:i/>
          <w:iCs/>
          <w:color w:val="000000"/>
          <w:sz w:val="20"/>
          <w:szCs w:val="20"/>
        </w:rPr>
        <w:t xml:space="preserve">See </w:t>
      </w:r>
      <w:r>
        <w:rPr>
          <w:rFonts w:ascii="TimesNewRomanPSMT" w:hAnsi="TimesNewRomanPSMT" w:cs="TimesNewRomanPSMT"/>
          <w:color w:val="000000"/>
          <w:sz w:val="20"/>
          <w:szCs w:val="20"/>
        </w:rPr>
        <w:t>Universal Service Administrative Company Self-Use Certification Sample Letter,</w:t>
      </w:r>
    </w:p>
    <w:p w14:paraId="10725A30" w14:textId="5AFDB7D6" w:rsidR="00972D83" w:rsidRDefault="00972D83" w:rsidP="00972D83">
      <w:pPr>
        <w:pStyle w:val="FootnoteText"/>
      </w:pPr>
      <w:r>
        <w:rPr>
          <w:rFonts w:ascii="TimesNewRomanPSMT" w:hAnsi="TimesNewRomanPSMT" w:cs="TimesNewRomanPSMT"/>
          <w:color w:val="0000FF"/>
        </w:rPr>
        <w:t>http://www.usac.org/_res/documents/hc/pdf/samples/sample-self-use-cert-letter.pdf</w:t>
      </w:r>
      <w:r>
        <w:rPr>
          <w:rFonts w:ascii="TimesNewRomanPSMT" w:hAnsi="TimesNewRomanPSMT" w:cs="TimesNewRomanPSMT"/>
          <w:color w:val="000000"/>
        </w:rPr>
        <w:t>.</w:t>
      </w:r>
    </w:p>
  </w:footnote>
  <w:footnote w:id="16">
    <w:p w14:paraId="65EF2277" w14:textId="367CB9D7" w:rsidR="00972D83" w:rsidRDefault="00972D83">
      <w:pPr>
        <w:pStyle w:val="FootnoteText"/>
      </w:pPr>
      <w:r>
        <w:rPr>
          <w:rStyle w:val="FootnoteReference"/>
        </w:rPr>
        <w:footnoteRef/>
      </w:r>
      <w:r>
        <w:t xml:space="preserve"> </w:t>
      </w:r>
      <w:r>
        <w:rPr>
          <w:rFonts w:ascii="TimesNewRomanPSMT" w:hAnsi="TimesNewRomanPSMT" w:cs="TimesNewRomanPSMT"/>
        </w:rPr>
        <w:t>47 CFR § 54.316(a)(4)</w:t>
      </w:r>
      <w:r>
        <w:rPr>
          <w:rFonts w:ascii="TimesNewRomanPS-ItalicMT" w:hAnsi="TimesNewRomanPS-ItalicMT" w:cs="TimesNewRomanPS-ItalicMT"/>
          <w:i/>
          <w:iCs/>
        </w:rPr>
        <w:t>.</w:t>
      </w:r>
    </w:p>
  </w:footnote>
  <w:footnote w:id="17">
    <w:p w14:paraId="51B23188" w14:textId="074D1A75" w:rsidR="00AA6B0B" w:rsidRDefault="00AA6B0B">
      <w:pPr>
        <w:pStyle w:val="FootnoteText"/>
      </w:pPr>
      <w:r>
        <w:rPr>
          <w:rStyle w:val="FootnoteReference"/>
        </w:rPr>
        <w:footnoteRef/>
      </w:r>
      <w:r>
        <w:t xml:space="preserve"> </w:t>
      </w:r>
      <w:r>
        <w:rPr>
          <w:rFonts w:ascii="TimesNewRomanPS-ItalicMT" w:hAnsi="TimesNewRomanPS-ItalicMT" w:cs="TimesNewRomanPS-ItalicMT"/>
          <w:i/>
          <w:iCs/>
        </w:rPr>
        <w:t>Phase II Auction Order</w:t>
      </w:r>
      <w:r>
        <w:rPr>
          <w:rFonts w:ascii="TimesNewRomanPSMT" w:hAnsi="TimesNewRomanPSMT" w:cs="TimesNewRomanPSMT"/>
        </w:rPr>
        <w:t>, 31 FCC Rcd at 6010-11, para.173.</w:t>
      </w:r>
    </w:p>
  </w:footnote>
  <w:footnote w:id="18">
    <w:p w14:paraId="14478F62" w14:textId="77777777" w:rsidR="00AA6B0B" w:rsidRDefault="00AA6B0B" w:rsidP="00AA6B0B">
      <w:pPr>
        <w:autoSpaceDE w:val="0"/>
        <w:autoSpaceDN w:val="0"/>
        <w:adjustRightInd w:val="0"/>
        <w:rPr>
          <w:rFonts w:ascii="TimesNewRomanPSMT" w:hAnsi="TimesNewRomanPSMT" w:cs="TimesNewRomanPSMT"/>
          <w:sz w:val="20"/>
          <w:szCs w:val="20"/>
        </w:rPr>
      </w:pPr>
      <w:r>
        <w:rPr>
          <w:rStyle w:val="FootnoteReference"/>
        </w:rPr>
        <w:footnoteRef/>
      </w:r>
      <w:r>
        <w:t xml:space="preserve"> </w:t>
      </w:r>
      <w:r>
        <w:rPr>
          <w:rFonts w:ascii="TimesNewRomanPS-ItalicMT" w:hAnsi="TimesNewRomanPS-ItalicMT" w:cs="TimesNewRomanPS-ItalicMT"/>
          <w:i/>
          <w:iCs/>
          <w:sz w:val="20"/>
          <w:szCs w:val="20"/>
        </w:rPr>
        <w:t xml:space="preserve">See id. </w:t>
      </w:r>
      <w:r>
        <w:rPr>
          <w:rFonts w:ascii="TimesNewRomanPSMT" w:hAnsi="TimesNewRomanPSMT" w:cs="TimesNewRomanPSMT"/>
          <w:sz w:val="20"/>
          <w:szCs w:val="20"/>
        </w:rPr>
        <w:t xml:space="preserve">at 6011, para. 173; </w:t>
      </w:r>
      <w:r>
        <w:rPr>
          <w:rFonts w:ascii="TimesNewRomanPS-ItalicMT" w:hAnsi="TimesNewRomanPS-ItalicMT" w:cs="TimesNewRomanPS-ItalicMT"/>
          <w:i/>
          <w:iCs/>
          <w:sz w:val="20"/>
          <w:szCs w:val="20"/>
        </w:rPr>
        <w:t>Connect America Fund et al</w:t>
      </w:r>
      <w:r>
        <w:rPr>
          <w:rFonts w:ascii="TimesNewRomanPSMT" w:hAnsi="TimesNewRomanPSMT" w:cs="TimesNewRomanPSMT"/>
          <w:sz w:val="20"/>
          <w:szCs w:val="20"/>
        </w:rPr>
        <w:t>., WC Docket No. 10-90 et al., Report and Order et al., 31</w:t>
      </w:r>
    </w:p>
    <w:p w14:paraId="18545AA7" w14:textId="77777777" w:rsidR="00AA6B0B" w:rsidRDefault="00AA6B0B" w:rsidP="00AA6B0B">
      <w:pPr>
        <w:autoSpaceDE w:val="0"/>
        <w:autoSpaceDN w:val="0"/>
        <w:adjustRightInd w:val="0"/>
        <w:rPr>
          <w:rFonts w:ascii="TimesNewRomanPS-ItalicMT" w:hAnsi="TimesNewRomanPS-ItalicMT" w:cs="TimesNewRomanPS-ItalicMT"/>
          <w:i/>
          <w:iCs/>
          <w:sz w:val="20"/>
          <w:szCs w:val="20"/>
        </w:rPr>
      </w:pPr>
      <w:r>
        <w:rPr>
          <w:rFonts w:ascii="TimesNewRomanPSMT" w:hAnsi="TimesNewRomanPSMT" w:cs="TimesNewRomanPSMT"/>
          <w:sz w:val="20"/>
          <w:szCs w:val="20"/>
        </w:rPr>
        <w:t xml:space="preserve">FCC Rcd 3087, 3164, 3167, paras. 211, 218 (2016); </w:t>
      </w:r>
      <w:r>
        <w:rPr>
          <w:rFonts w:ascii="TimesNewRomanPS-ItalicMT" w:hAnsi="TimesNewRomanPS-ItalicMT" w:cs="TimesNewRomanPS-ItalicMT"/>
          <w:i/>
          <w:iCs/>
          <w:sz w:val="20"/>
          <w:szCs w:val="20"/>
        </w:rPr>
        <w:t>see generally Wireline Competition Bureau Provides Guidance</w:t>
      </w:r>
    </w:p>
    <w:p w14:paraId="7726670C" w14:textId="77777777" w:rsidR="00AA6B0B" w:rsidRDefault="00AA6B0B" w:rsidP="00AA6B0B">
      <w:pPr>
        <w:autoSpaceDE w:val="0"/>
        <w:autoSpaceDN w:val="0"/>
        <w:adjustRightInd w:val="0"/>
        <w:rPr>
          <w:rFonts w:ascii="TimesNewRomanPSMT" w:hAnsi="TimesNewRomanPSMT" w:cs="TimesNewRomanPSMT"/>
          <w:sz w:val="20"/>
          <w:szCs w:val="20"/>
        </w:rPr>
      </w:pPr>
      <w:r>
        <w:rPr>
          <w:rFonts w:ascii="TimesNewRomanPS-ItalicMT" w:hAnsi="TimesNewRomanPS-ItalicMT" w:cs="TimesNewRomanPS-ItalicMT"/>
          <w:i/>
          <w:iCs/>
          <w:sz w:val="20"/>
          <w:szCs w:val="20"/>
        </w:rPr>
        <w:t>to Carriers Receiving Connect America Fund Support Regarding Their Broadband Location Reporting Obligations</w:t>
      </w:r>
      <w:r>
        <w:rPr>
          <w:rFonts w:ascii="TimesNewRomanPSMT" w:hAnsi="TimesNewRomanPSMT" w:cs="TimesNewRomanPSMT"/>
          <w:sz w:val="20"/>
          <w:szCs w:val="20"/>
        </w:rPr>
        <w:t>,</w:t>
      </w:r>
    </w:p>
    <w:p w14:paraId="174C21E9" w14:textId="77777777" w:rsidR="00AA6B0B" w:rsidRDefault="00AA6B0B" w:rsidP="00AA6B0B">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WC Docket No. 10-90, Public Notice, 31 FCC Rcd 12900, 12910 (2016) (</w:t>
      </w:r>
      <w:r>
        <w:rPr>
          <w:rFonts w:ascii="TimesNewRomanPS-ItalicMT" w:hAnsi="TimesNewRomanPS-ItalicMT" w:cs="TimesNewRomanPS-ItalicMT"/>
          <w:i/>
          <w:iCs/>
          <w:sz w:val="20"/>
          <w:szCs w:val="20"/>
        </w:rPr>
        <w:t>HUBB Public Notice</w:t>
      </w:r>
      <w:r>
        <w:rPr>
          <w:rFonts w:ascii="TimesNewRomanPSMT" w:hAnsi="TimesNewRomanPSMT" w:cs="TimesNewRomanPSMT"/>
          <w:sz w:val="20"/>
          <w:szCs w:val="20"/>
        </w:rPr>
        <w:t>); Universal Service</w:t>
      </w:r>
    </w:p>
    <w:p w14:paraId="49CF4E30" w14:textId="5EBDA682" w:rsidR="00AA6B0B" w:rsidRDefault="00AA6B0B" w:rsidP="00AA6B0B">
      <w:pPr>
        <w:pStyle w:val="FootnoteText"/>
      </w:pPr>
      <w:r>
        <w:rPr>
          <w:rFonts w:ascii="TimesNewRomanPSMT" w:hAnsi="TimesNewRomanPSMT" w:cs="TimesNewRomanPSMT"/>
        </w:rPr>
        <w:t>Administrative Company, Filing Geolocated Broadband Deployment Data, https://usac.org/hc/tools/hubb.aspx</w:t>
      </w:r>
    </w:p>
  </w:footnote>
  <w:footnote w:id="19">
    <w:p w14:paraId="72CFA703" w14:textId="2483DED0" w:rsidR="00AA6B0B" w:rsidRDefault="00AA6B0B" w:rsidP="00AA6B0B">
      <w:pPr>
        <w:autoSpaceDE w:val="0"/>
        <w:autoSpaceDN w:val="0"/>
        <w:adjustRightInd w:val="0"/>
        <w:rPr>
          <w:rFonts w:ascii="TimesNewRomanPSMT" w:hAnsi="TimesNewRomanPSMT" w:cs="TimesNewRomanPSMT"/>
          <w:sz w:val="20"/>
          <w:szCs w:val="20"/>
        </w:rPr>
      </w:pPr>
      <w:r>
        <w:rPr>
          <w:rStyle w:val="FootnoteReference"/>
        </w:rPr>
        <w:footnoteRef/>
      </w:r>
      <w:r>
        <w:t xml:space="preserve"> </w:t>
      </w:r>
      <w:r>
        <w:rPr>
          <w:rFonts w:ascii="TimesNewRomanPSMT" w:hAnsi="TimesNewRomanPSMT" w:cs="TimesNewRomanPSMT"/>
          <w:sz w:val="20"/>
          <w:szCs w:val="20"/>
        </w:rPr>
        <w:t xml:space="preserve">47 CFR § 54.314(b)(4) (requiring a “certification that by the end of the prior support year, it was offering broadband meeting the requisite public interest obligations specific in § 54.309 to the required percentage of its supported locations in each state as set forth in § 54.310(c)”); </w:t>
      </w:r>
      <w:r>
        <w:rPr>
          <w:rFonts w:ascii="TimesNewRomanPS-ItalicMT" w:hAnsi="TimesNewRomanPS-ItalicMT" w:cs="TimesNewRomanPS-ItalicMT"/>
          <w:i/>
          <w:iCs/>
          <w:sz w:val="20"/>
          <w:szCs w:val="20"/>
        </w:rPr>
        <w:t>id</w:t>
      </w:r>
      <w:r>
        <w:rPr>
          <w:rFonts w:ascii="TimesNewRomanPSMT" w:hAnsi="TimesNewRomanPSMT" w:cs="TimesNewRomanPSMT"/>
          <w:sz w:val="20"/>
          <w:szCs w:val="20"/>
        </w:rPr>
        <w:t>. § 54.310(c) (“Recipients of Connect America Phase II awarded through a competitive bidding process must complete deployment to 40 percent of supported locations by the end of the third year, to 60 percent of supported locations by the end of the fourth year, to 80 percent of supported locations by the end of the fifth year, and to 100 percent of supported locations by the end of</w:t>
      </w:r>
    </w:p>
    <w:p w14:paraId="07DDC141" w14:textId="234719CC" w:rsidR="00AA6B0B" w:rsidRDefault="00AA6B0B" w:rsidP="00AA6B0B">
      <w:pPr>
        <w:pStyle w:val="FootnoteText"/>
      </w:pPr>
      <w:r>
        <w:rPr>
          <w:rFonts w:ascii="TimesNewRomanPSMT" w:hAnsi="TimesNewRomanPSMT" w:cs="TimesNewRomanPSMT"/>
        </w:rPr>
        <w:t>the sixth year.”).</w:t>
      </w:r>
    </w:p>
  </w:footnote>
  <w:footnote w:id="20">
    <w:p w14:paraId="1DE426CD" w14:textId="6516C0C6" w:rsidR="00AA6B0B" w:rsidRDefault="00AA6B0B">
      <w:pPr>
        <w:pStyle w:val="FootnoteText"/>
      </w:pPr>
      <w:r>
        <w:rPr>
          <w:rStyle w:val="FootnoteReference"/>
        </w:rPr>
        <w:footnoteRef/>
      </w:r>
      <w:r>
        <w:t xml:space="preserve"> </w:t>
      </w:r>
      <w:r>
        <w:rPr>
          <w:rFonts w:ascii="TimesNewRomanPSMT" w:hAnsi="TimesNewRomanPSMT" w:cs="TimesNewRomanPSMT"/>
        </w:rPr>
        <w:t>47 CFR § 54.320(d).</w:t>
      </w:r>
    </w:p>
  </w:footnote>
  <w:footnote w:id="21">
    <w:p w14:paraId="0E1FEDB6" w14:textId="59539734" w:rsidR="004422FF" w:rsidRDefault="004422FF">
      <w:pPr>
        <w:pStyle w:val="FootnoteText"/>
      </w:pPr>
      <w:r>
        <w:rPr>
          <w:rStyle w:val="FootnoteReference"/>
        </w:rPr>
        <w:footnoteRef/>
      </w:r>
      <w:r>
        <w:t xml:space="preserve"> </w:t>
      </w:r>
      <w:r>
        <w:rPr>
          <w:rFonts w:ascii="TimesNewRomanPSMT" w:hAnsi="TimesNewRomanPSMT" w:cs="TimesNewRomanPSMT"/>
        </w:rPr>
        <w:t>47 CFR § 54.320(b).</w:t>
      </w:r>
    </w:p>
  </w:footnote>
  <w:footnote w:id="22">
    <w:p w14:paraId="2B1A11D1" w14:textId="2E4644B3" w:rsidR="004422FF" w:rsidRDefault="004422FF">
      <w:pPr>
        <w:pStyle w:val="FootnoteText"/>
      </w:pPr>
      <w:r>
        <w:rPr>
          <w:rStyle w:val="FootnoteReference"/>
        </w:rPr>
        <w:footnoteRef/>
      </w:r>
      <w:r>
        <w:t xml:space="preserve"> </w:t>
      </w:r>
      <w:r>
        <w:rPr>
          <w:rFonts w:ascii="TimesNewRomanPS-ItalicMT" w:hAnsi="TimesNewRomanPS-ItalicMT" w:cs="TimesNewRomanPS-ItalicMT"/>
          <w:i/>
          <w:iCs/>
        </w:rPr>
        <w:t>Id</w:t>
      </w:r>
      <w:r>
        <w:rPr>
          <w:rFonts w:ascii="TimesNewRomanPSMT" w:hAnsi="TimesNewRomanPSMT" w:cs="TimesNewRomanPSMT"/>
        </w:rPr>
        <w:t xml:space="preserve">. § 54.320(a); </w:t>
      </w:r>
      <w:r>
        <w:rPr>
          <w:rFonts w:ascii="TimesNewRomanPS-ItalicMT" w:hAnsi="TimesNewRomanPS-ItalicMT" w:cs="TimesNewRomanPS-ItalicMT"/>
          <w:i/>
          <w:iCs/>
        </w:rPr>
        <w:t>USF/ICC Transformation Order</w:t>
      </w:r>
      <w:r>
        <w:rPr>
          <w:rFonts w:ascii="TimesNewRomanPSMT" w:hAnsi="TimesNewRomanPSMT" w:cs="TimesNewRomanPSMT"/>
        </w:rPr>
        <w:t>, 26 FCC Rcd at 17864, para. 621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7D51FC"/>
    <w:multiLevelType w:val="hybridMultilevel"/>
    <w:tmpl w:val="AB185900"/>
    <w:lvl w:ilvl="0" w:tplc="23C0E8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FE65E06"/>
    <w:multiLevelType w:val="hybridMultilevel"/>
    <w:tmpl w:val="DC24D178"/>
    <w:lvl w:ilvl="0" w:tplc="64441F16">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5CE"/>
    <w:rsid w:val="00041EA9"/>
    <w:rsid w:val="000B2B37"/>
    <w:rsid w:val="000C6E78"/>
    <w:rsid w:val="001224D7"/>
    <w:rsid w:val="00160562"/>
    <w:rsid w:val="001B67BB"/>
    <w:rsid w:val="001D08E3"/>
    <w:rsid w:val="001E5BE7"/>
    <w:rsid w:val="002C55CE"/>
    <w:rsid w:val="00301DCD"/>
    <w:rsid w:val="0030699A"/>
    <w:rsid w:val="00311371"/>
    <w:rsid w:val="004131EA"/>
    <w:rsid w:val="004422FF"/>
    <w:rsid w:val="00594EC1"/>
    <w:rsid w:val="006E232F"/>
    <w:rsid w:val="007451DD"/>
    <w:rsid w:val="0075203B"/>
    <w:rsid w:val="00763AC2"/>
    <w:rsid w:val="007E5F38"/>
    <w:rsid w:val="0084148D"/>
    <w:rsid w:val="0087381F"/>
    <w:rsid w:val="008C09D3"/>
    <w:rsid w:val="008F49DE"/>
    <w:rsid w:val="00972D83"/>
    <w:rsid w:val="009C3108"/>
    <w:rsid w:val="00AA6B0B"/>
    <w:rsid w:val="00B018AB"/>
    <w:rsid w:val="00B11F92"/>
    <w:rsid w:val="00BB5BDE"/>
    <w:rsid w:val="00BE3420"/>
    <w:rsid w:val="00D64142"/>
    <w:rsid w:val="00E66402"/>
    <w:rsid w:val="00EB0760"/>
    <w:rsid w:val="00F13F24"/>
    <w:rsid w:val="00FD5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9682E"/>
  <w15:chartTrackingRefBased/>
  <w15:docId w15:val="{B94A830A-47D7-4541-B451-1740EFEA2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224D7"/>
    <w:rPr>
      <w:sz w:val="20"/>
      <w:szCs w:val="20"/>
    </w:rPr>
  </w:style>
  <w:style w:type="character" w:customStyle="1" w:styleId="FootnoteTextChar">
    <w:name w:val="Footnote Text Char"/>
    <w:basedOn w:val="DefaultParagraphFont"/>
    <w:link w:val="FootnoteText"/>
    <w:rsid w:val="001224D7"/>
  </w:style>
  <w:style w:type="character" w:styleId="FootnoteReference">
    <w:name w:val="footnote reference"/>
    <w:basedOn w:val="DefaultParagraphFont"/>
    <w:rsid w:val="001224D7"/>
    <w:rPr>
      <w:vertAlign w:val="superscript"/>
    </w:rPr>
  </w:style>
  <w:style w:type="paragraph" w:styleId="ListParagraph">
    <w:name w:val="List Paragraph"/>
    <w:basedOn w:val="Normal"/>
    <w:uiPriority w:val="34"/>
    <w:qFormat/>
    <w:rsid w:val="00B018AB"/>
    <w:pPr>
      <w:ind w:left="720"/>
      <w:contextualSpacing/>
    </w:pPr>
  </w:style>
  <w:style w:type="paragraph" w:styleId="BalloonText">
    <w:name w:val="Balloon Text"/>
    <w:basedOn w:val="Normal"/>
    <w:link w:val="BalloonTextChar"/>
    <w:rsid w:val="00594EC1"/>
    <w:rPr>
      <w:rFonts w:ascii="Segoe UI" w:hAnsi="Segoe UI" w:cs="Segoe UI"/>
      <w:sz w:val="18"/>
      <w:szCs w:val="18"/>
    </w:rPr>
  </w:style>
  <w:style w:type="character" w:customStyle="1" w:styleId="BalloonTextChar">
    <w:name w:val="Balloon Text Char"/>
    <w:basedOn w:val="DefaultParagraphFont"/>
    <w:link w:val="BalloonText"/>
    <w:rsid w:val="00594EC1"/>
    <w:rPr>
      <w:rFonts w:ascii="Segoe UI" w:hAnsi="Segoe UI" w:cs="Segoe UI"/>
      <w:sz w:val="18"/>
      <w:szCs w:val="18"/>
    </w:rPr>
  </w:style>
  <w:style w:type="paragraph" w:styleId="Header">
    <w:name w:val="header"/>
    <w:basedOn w:val="Normal"/>
    <w:link w:val="HeaderChar"/>
    <w:rsid w:val="00160562"/>
    <w:pPr>
      <w:tabs>
        <w:tab w:val="center" w:pos="4680"/>
        <w:tab w:val="right" w:pos="9360"/>
      </w:tabs>
    </w:pPr>
  </w:style>
  <w:style w:type="character" w:customStyle="1" w:styleId="HeaderChar">
    <w:name w:val="Header Char"/>
    <w:basedOn w:val="DefaultParagraphFont"/>
    <w:link w:val="Header"/>
    <w:rsid w:val="00160562"/>
    <w:rPr>
      <w:sz w:val="24"/>
      <w:szCs w:val="24"/>
    </w:rPr>
  </w:style>
  <w:style w:type="paragraph" w:styleId="Footer">
    <w:name w:val="footer"/>
    <w:basedOn w:val="Normal"/>
    <w:link w:val="FooterChar"/>
    <w:uiPriority w:val="99"/>
    <w:rsid w:val="00160562"/>
    <w:pPr>
      <w:tabs>
        <w:tab w:val="center" w:pos="4680"/>
        <w:tab w:val="right" w:pos="9360"/>
      </w:tabs>
    </w:pPr>
  </w:style>
  <w:style w:type="character" w:customStyle="1" w:styleId="FooterChar">
    <w:name w:val="Footer Char"/>
    <w:basedOn w:val="DefaultParagraphFont"/>
    <w:link w:val="Footer"/>
    <w:uiPriority w:val="99"/>
    <w:rsid w:val="001605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C4BDE-9AB0-447A-BEF4-7B346D295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9</Pages>
  <Words>2231</Words>
  <Characters>12717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2018-10-10T18:42:00Z</cp:lastPrinted>
  <dcterms:created xsi:type="dcterms:W3CDTF">2018-10-05T15:26:00Z</dcterms:created>
  <dcterms:modified xsi:type="dcterms:W3CDTF">2018-10-10T21:43:00Z</dcterms:modified>
</cp:coreProperties>
</file>