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8F4B7" w14:textId="77777777" w:rsidR="00C81AE5" w:rsidRPr="00C81AE5" w:rsidRDefault="00C81AE5" w:rsidP="00C81AE5">
      <w:pPr>
        <w:pStyle w:val="NoSpacing"/>
        <w:jc w:val="center"/>
        <w:rPr>
          <w:rFonts w:ascii="Times New Roman" w:hAnsi="Times New Roman"/>
          <w:b/>
          <w:sz w:val="24"/>
          <w:szCs w:val="24"/>
        </w:rPr>
      </w:pPr>
      <w:r w:rsidRPr="00C81AE5">
        <w:rPr>
          <w:rFonts w:ascii="Times New Roman" w:hAnsi="Times New Roman"/>
          <w:b/>
          <w:sz w:val="24"/>
          <w:szCs w:val="24"/>
        </w:rPr>
        <w:t>Before the</w:t>
      </w:r>
    </w:p>
    <w:p w14:paraId="50C0DC88" w14:textId="77777777" w:rsidR="00C81AE5" w:rsidRPr="00C81AE5" w:rsidRDefault="00C81AE5" w:rsidP="00C81AE5">
      <w:pPr>
        <w:pStyle w:val="NoSpacing"/>
        <w:jc w:val="center"/>
        <w:rPr>
          <w:rFonts w:ascii="Times New Roman" w:hAnsi="Times New Roman"/>
          <w:b/>
          <w:sz w:val="24"/>
          <w:szCs w:val="24"/>
        </w:rPr>
      </w:pPr>
      <w:r w:rsidRPr="00C81AE5">
        <w:rPr>
          <w:rFonts w:ascii="Times New Roman" w:hAnsi="Times New Roman"/>
          <w:b/>
          <w:sz w:val="24"/>
          <w:szCs w:val="24"/>
        </w:rPr>
        <w:t>Federal Communications Commission</w:t>
      </w:r>
    </w:p>
    <w:p w14:paraId="11D93543" w14:textId="77777777" w:rsidR="00C81AE5" w:rsidRPr="00C81AE5" w:rsidRDefault="00C81AE5" w:rsidP="00C81AE5">
      <w:pPr>
        <w:pStyle w:val="NoSpacing"/>
        <w:jc w:val="center"/>
        <w:rPr>
          <w:rFonts w:ascii="Times New Roman" w:hAnsi="Times New Roman"/>
          <w:b/>
          <w:sz w:val="24"/>
          <w:szCs w:val="24"/>
        </w:rPr>
      </w:pPr>
      <w:r w:rsidRPr="00C81AE5">
        <w:rPr>
          <w:rFonts w:ascii="Times New Roman" w:hAnsi="Times New Roman"/>
          <w:b/>
          <w:sz w:val="24"/>
          <w:szCs w:val="24"/>
        </w:rPr>
        <w:t>Washington, D.C. 20554</w:t>
      </w:r>
    </w:p>
    <w:p w14:paraId="54DCF560" w14:textId="77777777" w:rsidR="00C81AE5" w:rsidRPr="00C81AE5" w:rsidRDefault="00C81AE5" w:rsidP="00C81AE5">
      <w:pPr>
        <w:pStyle w:val="NoSpacing"/>
        <w:jc w:val="center"/>
        <w:rPr>
          <w:rFonts w:ascii="Times New Roman" w:hAnsi="Times New Roman"/>
          <w:b/>
          <w:sz w:val="24"/>
          <w:szCs w:val="24"/>
        </w:rPr>
      </w:pPr>
    </w:p>
    <w:p w14:paraId="3BBE39E5" w14:textId="77777777" w:rsidR="00C81AE5" w:rsidRPr="00C81AE5" w:rsidRDefault="00C81AE5" w:rsidP="00C81AE5">
      <w:pPr>
        <w:pStyle w:val="NoSpacing"/>
        <w:rPr>
          <w:rFonts w:ascii="Times New Roman" w:hAnsi="Times New Roman"/>
          <w:sz w:val="24"/>
          <w:szCs w:val="24"/>
        </w:rPr>
      </w:pPr>
      <w:r w:rsidRPr="00C81AE5">
        <w:rPr>
          <w:rFonts w:ascii="Times New Roman" w:hAnsi="Times New Roman"/>
          <w:sz w:val="24"/>
          <w:szCs w:val="24"/>
        </w:rPr>
        <w:t>In the Matter of</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81AE5">
        <w:rPr>
          <w:rFonts w:ascii="Times New Roman" w:hAnsi="Times New Roman"/>
          <w:sz w:val="24"/>
          <w:szCs w:val="24"/>
        </w:rPr>
        <w:t>)</w:t>
      </w:r>
    </w:p>
    <w:p w14:paraId="0BBFCDC0" w14:textId="77777777" w:rsidR="00C81AE5" w:rsidRPr="00C81AE5" w:rsidRDefault="00C81AE5" w:rsidP="00C81AE5">
      <w:pPr>
        <w:pStyle w:val="NoSpacing"/>
        <w:rPr>
          <w:rFonts w:ascii="Times New Roman" w:hAnsi="Times New Roman"/>
          <w:sz w:val="24"/>
          <w:szCs w:val="24"/>
        </w:rPr>
      </w:pPr>
      <w:r w:rsidRPr="00C81AE5">
        <w:rPr>
          <w:rFonts w:ascii="Times New Roman" w:hAnsi="Times New Roman"/>
          <w:sz w:val="24"/>
          <w:szCs w:val="24"/>
        </w:rPr>
        <w:tab/>
      </w:r>
      <w:r w:rsidRPr="00C81AE5">
        <w:rPr>
          <w:rFonts w:ascii="Times New Roman" w:hAnsi="Times New Roman"/>
          <w:sz w:val="24"/>
          <w:szCs w:val="24"/>
        </w:rPr>
        <w:tab/>
      </w:r>
      <w:r w:rsidRPr="00C81AE5">
        <w:rPr>
          <w:rFonts w:ascii="Times New Roman" w:hAnsi="Times New Roman"/>
          <w:sz w:val="24"/>
          <w:szCs w:val="24"/>
        </w:rPr>
        <w:tab/>
      </w:r>
      <w:r w:rsidRPr="00C81AE5">
        <w:rPr>
          <w:rFonts w:ascii="Times New Roman" w:hAnsi="Times New Roman"/>
          <w:sz w:val="24"/>
          <w:szCs w:val="24"/>
        </w:rPr>
        <w:tab/>
      </w:r>
      <w:r w:rsidRPr="00C81AE5">
        <w:rPr>
          <w:rFonts w:ascii="Times New Roman" w:hAnsi="Times New Roman"/>
          <w:sz w:val="24"/>
          <w:szCs w:val="24"/>
        </w:rPr>
        <w:tab/>
      </w:r>
      <w:r w:rsidRPr="00C81AE5">
        <w:rPr>
          <w:rFonts w:ascii="Times New Roman" w:hAnsi="Times New Roman"/>
          <w:sz w:val="24"/>
          <w:szCs w:val="24"/>
        </w:rPr>
        <w:tab/>
      </w:r>
      <w:r w:rsidRPr="00C81AE5">
        <w:rPr>
          <w:rFonts w:ascii="Times New Roman" w:hAnsi="Times New Roman"/>
          <w:sz w:val="24"/>
          <w:szCs w:val="24"/>
        </w:rPr>
        <w:tab/>
      </w:r>
      <w:r>
        <w:rPr>
          <w:rFonts w:ascii="Times New Roman" w:hAnsi="Times New Roman"/>
          <w:sz w:val="24"/>
          <w:szCs w:val="24"/>
        </w:rPr>
        <w:tab/>
      </w:r>
      <w:r w:rsidRPr="00C81AE5">
        <w:rPr>
          <w:rFonts w:ascii="Times New Roman" w:hAnsi="Times New Roman"/>
          <w:sz w:val="24"/>
          <w:szCs w:val="24"/>
        </w:rPr>
        <w:t>)</w:t>
      </w:r>
    </w:p>
    <w:p w14:paraId="58450422" w14:textId="77777777" w:rsidR="00C81AE5" w:rsidRPr="00C81AE5" w:rsidRDefault="00C81AE5" w:rsidP="00C81AE5">
      <w:pPr>
        <w:pStyle w:val="NoSpacing"/>
        <w:rPr>
          <w:rFonts w:ascii="Times New Roman" w:hAnsi="Times New Roman"/>
          <w:sz w:val="24"/>
          <w:szCs w:val="24"/>
        </w:rPr>
      </w:pPr>
      <w:r w:rsidRPr="00C81AE5">
        <w:rPr>
          <w:rFonts w:ascii="Times New Roman" w:hAnsi="Times New Roman"/>
          <w:sz w:val="24"/>
          <w:szCs w:val="24"/>
        </w:rPr>
        <w:t>Implementation of Section 621(a)(1) of the Cable</w:t>
      </w:r>
      <w:r w:rsidRPr="00C81AE5">
        <w:rPr>
          <w:rFonts w:ascii="Times New Roman" w:hAnsi="Times New Roman"/>
          <w:sz w:val="24"/>
          <w:szCs w:val="24"/>
        </w:rPr>
        <w:tab/>
      </w:r>
      <w:r>
        <w:rPr>
          <w:rFonts w:ascii="Times New Roman" w:hAnsi="Times New Roman"/>
          <w:sz w:val="24"/>
          <w:szCs w:val="24"/>
        </w:rPr>
        <w:tab/>
      </w:r>
      <w:r w:rsidRPr="00C81AE5">
        <w:rPr>
          <w:rFonts w:ascii="Times New Roman" w:hAnsi="Times New Roman"/>
          <w:sz w:val="24"/>
          <w:szCs w:val="24"/>
        </w:rPr>
        <w:t>)</w:t>
      </w:r>
      <w:r w:rsidRPr="00C81AE5">
        <w:rPr>
          <w:rFonts w:ascii="Times New Roman" w:hAnsi="Times New Roman"/>
          <w:sz w:val="24"/>
          <w:szCs w:val="24"/>
        </w:rPr>
        <w:tab/>
        <w:t>MB Docket No. 05-311</w:t>
      </w:r>
    </w:p>
    <w:p w14:paraId="6ABC6DD5" w14:textId="77777777" w:rsidR="00C81AE5" w:rsidRPr="00C81AE5" w:rsidRDefault="00C81AE5" w:rsidP="00C81AE5">
      <w:pPr>
        <w:pStyle w:val="NoSpacing"/>
        <w:rPr>
          <w:rFonts w:ascii="Times New Roman" w:hAnsi="Times New Roman"/>
          <w:sz w:val="24"/>
          <w:szCs w:val="24"/>
        </w:rPr>
      </w:pPr>
      <w:r w:rsidRPr="00C81AE5">
        <w:rPr>
          <w:rFonts w:ascii="Times New Roman" w:hAnsi="Times New Roman"/>
          <w:sz w:val="24"/>
          <w:szCs w:val="24"/>
        </w:rPr>
        <w:t>Communications Policy Act of 1984 as Amended</w:t>
      </w:r>
      <w:r>
        <w:rPr>
          <w:rFonts w:ascii="Times New Roman" w:hAnsi="Times New Roman"/>
          <w:sz w:val="24"/>
          <w:szCs w:val="24"/>
        </w:rPr>
        <w:tab/>
      </w:r>
      <w:r>
        <w:rPr>
          <w:rFonts w:ascii="Times New Roman" w:hAnsi="Times New Roman"/>
          <w:sz w:val="24"/>
          <w:szCs w:val="24"/>
        </w:rPr>
        <w:tab/>
      </w:r>
      <w:r w:rsidRPr="00C81AE5">
        <w:rPr>
          <w:rFonts w:ascii="Times New Roman" w:hAnsi="Times New Roman"/>
          <w:sz w:val="24"/>
          <w:szCs w:val="24"/>
        </w:rPr>
        <w:t>)</w:t>
      </w:r>
    </w:p>
    <w:p w14:paraId="59CE6A48" w14:textId="77777777" w:rsidR="00C81AE5" w:rsidRPr="00C81AE5" w:rsidRDefault="00C81AE5" w:rsidP="00C81AE5">
      <w:pPr>
        <w:pStyle w:val="NoSpacing"/>
        <w:rPr>
          <w:rFonts w:ascii="Times New Roman" w:hAnsi="Times New Roman"/>
          <w:sz w:val="24"/>
          <w:szCs w:val="24"/>
        </w:rPr>
      </w:pPr>
      <w:r w:rsidRPr="00C81AE5">
        <w:rPr>
          <w:rFonts w:ascii="Times New Roman" w:hAnsi="Times New Roman"/>
          <w:sz w:val="24"/>
          <w:szCs w:val="24"/>
        </w:rPr>
        <w:t xml:space="preserve">By the Cable Television Consumer Protection and </w:t>
      </w:r>
      <w:r w:rsidRPr="00C81AE5">
        <w:rPr>
          <w:rFonts w:ascii="Times New Roman" w:hAnsi="Times New Roman"/>
          <w:sz w:val="24"/>
          <w:szCs w:val="24"/>
        </w:rPr>
        <w:tab/>
      </w:r>
      <w:r>
        <w:rPr>
          <w:rFonts w:ascii="Times New Roman" w:hAnsi="Times New Roman"/>
          <w:sz w:val="24"/>
          <w:szCs w:val="24"/>
        </w:rPr>
        <w:tab/>
      </w:r>
      <w:r w:rsidRPr="00C81AE5">
        <w:rPr>
          <w:rFonts w:ascii="Times New Roman" w:hAnsi="Times New Roman"/>
          <w:sz w:val="24"/>
          <w:szCs w:val="24"/>
        </w:rPr>
        <w:t>)</w:t>
      </w:r>
    </w:p>
    <w:p w14:paraId="5ED02731" w14:textId="77777777" w:rsidR="00C81AE5" w:rsidRDefault="00C81AE5" w:rsidP="00C81AE5">
      <w:pPr>
        <w:pStyle w:val="NoSpacing"/>
        <w:rPr>
          <w:rFonts w:ascii="Times New Roman" w:hAnsi="Times New Roman"/>
          <w:sz w:val="24"/>
          <w:szCs w:val="24"/>
        </w:rPr>
      </w:pPr>
      <w:r w:rsidRPr="00C81AE5">
        <w:rPr>
          <w:rFonts w:ascii="Times New Roman" w:hAnsi="Times New Roman"/>
          <w:sz w:val="24"/>
          <w:szCs w:val="24"/>
        </w:rPr>
        <w:t>Competition Act of 1992</w:t>
      </w:r>
      <w:r w:rsidRPr="00C81AE5">
        <w:rPr>
          <w:rFonts w:ascii="Times New Roman" w:hAnsi="Times New Roman"/>
          <w:sz w:val="24"/>
          <w:szCs w:val="24"/>
        </w:rPr>
        <w:tab/>
      </w:r>
      <w:r w:rsidRPr="00C81AE5">
        <w:rPr>
          <w:rFonts w:ascii="Times New Roman" w:hAnsi="Times New Roman"/>
          <w:sz w:val="24"/>
          <w:szCs w:val="24"/>
        </w:rPr>
        <w:tab/>
      </w:r>
      <w:r w:rsidRPr="00C81AE5">
        <w:rPr>
          <w:rFonts w:ascii="Times New Roman" w:hAnsi="Times New Roman"/>
          <w:sz w:val="24"/>
          <w:szCs w:val="24"/>
        </w:rPr>
        <w:tab/>
      </w:r>
      <w:r w:rsidRPr="00C81AE5">
        <w:rPr>
          <w:rFonts w:ascii="Times New Roman" w:hAnsi="Times New Roman"/>
          <w:sz w:val="24"/>
          <w:szCs w:val="24"/>
        </w:rPr>
        <w:tab/>
      </w:r>
      <w:r>
        <w:rPr>
          <w:rFonts w:ascii="Times New Roman" w:hAnsi="Times New Roman"/>
          <w:sz w:val="24"/>
          <w:szCs w:val="24"/>
        </w:rPr>
        <w:tab/>
      </w:r>
      <w:r w:rsidRPr="00C81AE5">
        <w:rPr>
          <w:rFonts w:ascii="Times New Roman" w:hAnsi="Times New Roman"/>
          <w:sz w:val="24"/>
          <w:szCs w:val="24"/>
        </w:rPr>
        <w:t>)</w:t>
      </w:r>
    </w:p>
    <w:p w14:paraId="727C773D" w14:textId="77777777" w:rsidR="00C81AE5" w:rsidRDefault="00C81AE5" w:rsidP="00C81AE5">
      <w:pPr>
        <w:pStyle w:val="NoSpacing"/>
        <w:rPr>
          <w:rFonts w:ascii="Times New Roman" w:hAnsi="Times New Roman"/>
          <w:sz w:val="24"/>
          <w:szCs w:val="24"/>
        </w:rPr>
      </w:pPr>
    </w:p>
    <w:p w14:paraId="2BF74357" w14:textId="77777777" w:rsidR="00C81AE5" w:rsidRDefault="00C81AE5" w:rsidP="00C81AE5">
      <w:pPr>
        <w:pStyle w:val="NoSpacing"/>
        <w:jc w:val="center"/>
        <w:rPr>
          <w:rFonts w:ascii="Times New Roman" w:hAnsi="Times New Roman"/>
          <w:sz w:val="24"/>
          <w:szCs w:val="24"/>
        </w:rPr>
      </w:pPr>
      <w:r>
        <w:rPr>
          <w:rFonts w:ascii="Times New Roman" w:hAnsi="Times New Roman"/>
          <w:b/>
          <w:sz w:val="24"/>
          <w:szCs w:val="24"/>
        </w:rPr>
        <w:t>COMMENTS OF THE INTERNATIONAL MUNICIPAL LAWYERS ASSOCIATION</w:t>
      </w:r>
    </w:p>
    <w:p w14:paraId="47DF34E6" w14:textId="77777777" w:rsidR="00C81AE5" w:rsidRDefault="00C81AE5" w:rsidP="00A75888">
      <w:pPr>
        <w:pStyle w:val="NoSpacing"/>
        <w:rPr>
          <w:rFonts w:ascii="Times New Roman" w:hAnsi="Times New Roman"/>
          <w:sz w:val="24"/>
          <w:szCs w:val="24"/>
        </w:rPr>
      </w:pPr>
    </w:p>
    <w:p w14:paraId="58FD42A8" w14:textId="77777777" w:rsidR="00EA0E33" w:rsidRPr="003462C0" w:rsidRDefault="00EA0E33" w:rsidP="00EA0E33">
      <w:pPr>
        <w:pStyle w:val="NoSpacing"/>
        <w:numPr>
          <w:ilvl w:val="0"/>
          <w:numId w:val="5"/>
        </w:numPr>
        <w:spacing w:line="480" w:lineRule="auto"/>
        <w:rPr>
          <w:rFonts w:ascii="Times New Roman" w:hAnsi="Times New Roman" w:cs="Times New Roman (Body CS)"/>
          <w:smallCaps/>
          <w:sz w:val="24"/>
          <w:szCs w:val="24"/>
        </w:rPr>
      </w:pPr>
      <w:r w:rsidRPr="003462C0">
        <w:rPr>
          <w:rFonts w:ascii="Times New Roman" w:hAnsi="Times New Roman" w:cs="Times New Roman (Body CS)"/>
          <w:smallCaps/>
          <w:sz w:val="24"/>
          <w:szCs w:val="24"/>
        </w:rPr>
        <w:t>Introduction</w:t>
      </w:r>
    </w:p>
    <w:p w14:paraId="06F2FE7A" w14:textId="3688A703" w:rsidR="009B1994" w:rsidRDefault="0037404C" w:rsidP="009B1994">
      <w:pPr>
        <w:pStyle w:val="NoSpacing"/>
        <w:spacing w:line="480" w:lineRule="auto"/>
        <w:ind w:firstLine="720"/>
        <w:rPr>
          <w:rFonts w:ascii="Times New Roman" w:hAnsi="Times New Roman"/>
          <w:sz w:val="24"/>
          <w:szCs w:val="24"/>
        </w:rPr>
      </w:pPr>
      <w:r>
        <w:rPr>
          <w:rFonts w:ascii="Times New Roman" w:hAnsi="Times New Roman"/>
          <w:sz w:val="24"/>
          <w:szCs w:val="24"/>
        </w:rPr>
        <w:t xml:space="preserve">The International Municipal </w:t>
      </w:r>
      <w:r w:rsidR="009B1994">
        <w:rPr>
          <w:rFonts w:ascii="Times New Roman" w:hAnsi="Times New Roman"/>
          <w:sz w:val="24"/>
          <w:szCs w:val="24"/>
        </w:rPr>
        <w:t>Lawyers Association</w:t>
      </w:r>
      <w:r w:rsidR="00B4683D">
        <w:rPr>
          <w:rFonts w:ascii="Times New Roman" w:hAnsi="Times New Roman"/>
          <w:sz w:val="24"/>
          <w:szCs w:val="24"/>
        </w:rPr>
        <w:t>, Inc.</w:t>
      </w:r>
      <w:r w:rsidR="009B1994">
        <w:rPr>
          <w:rFonts w:ascii="Times New Roman" w:hAnsi="Times New Roman"/>
          <w:sz w:val="24"/>
          <w:szCs w:val="24"/>
        </w:rPr>
        <w:t xml:space="preserve"> (</w:t>
      </w:r>
      <w:r w:rsidR="003560BA">
        <w:rPr>
          <w:rFonts w:ascii="Times New Roman" w:hAnsi="Times New Roman"/>
          <w:sz w:val="24"/>
          <w:szCs w:val="24"/>
        </w:rPr>
        <w:t>“</w:t>
      </w:r>
      <w:r w:rsidR="009B1994">
        <w:rPr>
          <w:rFonts w:ascii="Times New Roman" w:hAnsi="Times New Roman"/>
          <w:sz w:val="24"/>
          <w:szCs w:val="24"/>
        </w:rPr>
        <w:t>IMLA</w:t>
      </w:r>
      <w:r w:rsidR="003560BA">
        <w:rPr>
          <w:rFonts w:ascii="Times New Roman" w:hAnsi="Times New Roman"/>
          <w:sz w:val="24"/>
          <w:szCs w:val="24"/>
        </w:rPr>
        <w:t>”</w:t>
      </w:r>
      <w:r w:rsidR="009B1994">
        <w:rPr>
          <w:rFonts w:ascii="Times New Roman" w:hAnsi="Times New Roman"/>
          <w:sz w:val="24"/>
          <w:szCs w:val="24"/>
        </w:rPr>
        <w:t xml:space="preserve">) </w:t>
      </w:r>
      <w:r w:rsidR="003560BA">
        <w:rPr>
          <w:rFonts w:ascii="Times New Roman" w:hAnsi="Times New Roman"/>
          <w:sz w:val="24"/>
          <w:szCs w:val="24"/>
        </w:rPr>
        <w:t xml:space="preserve">appreciates the opportunity to file comments on the Commission’s Second Further Notice of Proposed Rulemaking (“FNPRM”) in the docket. IMLA </w:t>
      </w:r>
      <w:r w:rsidR="009B1994">
        <w:rPr>
          <w:rFonts w:ascii="Times New Roman" w:hAnsi="Times New Roman"/>
          <w:sz w:val="24"/>
          <w:szCs w:val="24"/>
        </w:rPr>
        <w:t>is a</w:t>
      </w:r>
      <w:r w:rsidR="007F4FAC">
        <w:rPr>
          <w:rFonts w:ascii="Times New Roman" w:hAnsi="Times New Roman"/>
          <w:sz w:val="24"/>
          <w:szCs w:val="24"/>
        </w:rPr>
        <w:t xml:space="preserve"> </w:t>
      </w:r>
      <w:r>
        <w:rPr>
          <w:rFonts w:ascii="Times New Roman" w:hAnsi="Times New Roman"/>
          <w:sz w:val="24"/>
          <w:szCs w:val="24"/>
        </w:rPr>
        <w:t xml:space="preserve">nonprofit, nonpartisan professional organization consisting of </w:t>
      </w:r>
      <w:r w:rsidRPr="00571887">
        <w:rPr>
          <w:rFonts w:ascii="Times New Roman" w:hAnsi="Times New Roman"/>
          <w:sz w:val="24"/>
          <w:szCs w:val="24"/>
        </w:rPr>
        <w:t xml:space="preserve">over </w:t>
      </w:r>
      <w:r w:rsidR="009B1994" w:rsidRPr="00571887">
        <w:rPr>
          <w:rFonts w:ascii="Times New Roman" w:hAnsi="Times New Roman"/>
          <w:sz w:val="24"/>
          <w:szCs w:val="24"/>
        </w:rPr>
        <w:t>2,500</w:t>
      </w:r>
      <w:r w:rsidRPr="00571887">
        <w:rPr>
          <w:rFonts w:ascii="Times New Roman" w:hAnsi="Times New Roman"/>
          <w:sz w:val="24"/>
          <w:szCs w:val="24"/>
        </w:rPr>
        <w:t xml:space="preserve"> member</w:t>
      </w:r>
      <w:r w:rsidR="009B7FF1">
        <w:rPr>
          <w:rFonts w:ascii="Times New Roman" w:hAnsi="Times New Roman"/>
          <w:sz w:val="24"/>
          <w:szCs w:val="24"/>
        </w:rPr>
        <w:t>s</w:t>
      </w:r>
      <w:r w:rsidRPr="00571887">
        <w:rPr>
          <w:rFonts w:ascii="Times New Roman" w:hAnsi="Times New Roman"/>
          <w:sz w:val="24"/>
          <w:szCs w:val="24"/>
        </w:rPr>
        <w:t>.</w:t>
      </w:r>
      <w:r>
        <w:rPr>
          <w:rFonts w:ascii="Times New Roman" w:hAnsi="Times New Roman"/>
          <w:sz w:val="24"/>
          <w:szCs w:val="24"/>
        </w:rPr>
        <w:t xml:space="preserve"> IMLA’s membership is comprised of local government entit</w:t>
      </w:r>
      <w:r w:rsidR="009B1994">
        <w:rPr>
          <w:rFonts w:ascii="Times New Roman" w:hAnsi="Times New Roman"/>
          <w:sz w:val="24"/>
          <w:szCs w:val="24"/>
        </w:rPr>
        <w:t>ies, including cities, counties and subdivisions thereof,</w:t>
      </w:r>
      <w:r>
        <w:rPr>
          <w:rFonts w:ascii="Times New Roman" w:hAnsi="Times New Roman"/>
          <w:sz w:val="24"/>
          <w:szCs w:val="24"/>
        </w:rPr>
        <w:t xml:space="preserve"> state municipal leagues, and individual attorneys representing governmental interest. </w:t>
      </w:r>
      <w:r w:rsidR="009B1994">
        <w:rPr>
          <w:rFonts w:ascii="Times New Roman" w:hAnsi="Times New Roman"/>
          <w:sz w:val="24"/>
          <w:szCs w:val="24"/>
        </w:rPr>
        <w:t xml:space="preserve">IMLA serves as an international clearinghouse of legal information and cooperation on municipal legal matters. </w:t>
      </w:r>
      <w:r>
        <w:rPr>
          <w:rFonts w:ascii="Times New Roman" w:hAnsi="Times New Roman"/>
          <w:sz w:val="24"/>
          <w:szCs w:val="24"/>
        </w:rPr>
        <w:t>Since its establishment in 1935, IMLA has advocated for the rights and privileges of local governments</w:t>
      </w:r>
      <w:r w:rsidR="009B1994">
        <w:rPr>
          <w:rFonts w:ascii="Times New Roman" w:hAnsi="Times New Roman"/>
          <w:sz w:val="24"/>
          <w:szCs w:val="24"/>
        </w:rPr>
        <w:t xml:space="preserve"> and is the oldest and largest association of attorneys representing municipal interests</w:t>
      </w:r>
      <w:r>
        <w:rPr>
          <w:rFonts w:ascii="Times New Roman" w:hAnsi="Times New Roman"/>
          <w:sz w:val="24"/>
          <w:szCs w:val="24"/>
        </w:rPr>
        <w:t>.</w:t>
      </w:r>
      <w:r w:rsidR="009B1994">
        <w:rPr>
          <w:rFonts w:ascii="Times New Roman" w:hAnsi="Times New Roman"/>
          <w:sz w:val="24"/>
          <w:szCs w:val="24"/>
        </w:rPr>
        <w:t xml:space="preserve"> IMLA’s mission is to advance the responsible development of municipal law through education and advocacy by providing the collective viewpoint of local governments around the country on key legal issues.</w:t>
      </w:r>
    </w:p>
    <w:p w14:paraId="331940D3" w14:textId="457F19D9" w:rsidR="00C604C9" w:rsidRDefault="0037404C" w:rsidP="00C604C9">
      <w:pPr>
        <w:pStyle w:val="NoSpacing"/>
        <w:spacing w:line="480" w:lineRule="auto"/>
        <w:ind w:firstLine="720"/>
        <w:rPr>
          <w:rFonts w:ascii="Times New Roman" w:hAnsi="Times New Roman"/>
          <w:sz w:val="24"/>
          <w:szCs w:val="24"/>
        </w:rPr>
      </w:pPr>
      <w:r>
        <w:rPr>
          <w:rFonts w:ascii="Times New Roman" w:hAnsi="Times New Roman"/>
          <w:sz w:val="24"/>
          <w:szCs w:val="24"/>
        </w:rPr>
        <w:t>We strongly oppose the Commission’s tentative conclusion that cable-related in-kind</w:t>
      </w:r>
      <w:r w:rsidR="006B0265">
        <w:rPr>
          <w:rStyle w:val="FootnoteReference"/>
          <w:rFonts w:ascii="Times New Roman" w:hAnsi="Times New Roman"/>
          <w:sz w:val="24"/>
          <w:szCs w:val="24"/>
        </w:rPr>
        <w:footnoteReference w:id="1"/>
      </w:r>
      <w:r>
        <w:rPr>
          <w:rFonts w:ascii="Times New Roman" w:hAnsi="Times New Roman"/>
          <w:sz w:val="24"/>
          <w:szCs w:val="24"/>
        </w:rPr>
        <w:t xml:space="preserve"> contributions are cable franchise fees subject to the statutory five percent fee cap</w:t>
      </w:r>
      <w:r w:rsidR="002412C0">
        <w:rPr>
          <w:rFonts w:ascii="Times New Roman" w:hAnsi="Times New Roman"/>
          <w:sz w:val="24"/>
          <w:szCs w:val="24"/>
        </w:rPr>
        <w:t>,</w:t>
      </w:r>
      <w:r w:rsidR="001D16FD">
        <w:rPr>
          <w:rFonts w:ascii="Times New Roman" w:hAnsi="Times New Roman"/>
          <w:sz w:val="24"/>
          <w:szCs w:val="24"/>
        </w:rPr>
        <w:t xml:space="preserve"> and instead </w:t>
      </w:r>
      <w:r w:rsidR="001D16FD">
        <w:rPr>
          <w:rFonts w:ascii="Times New Roman" w:hAnsi="Times New Roman"/>
          <w:sz w:val="24"/>
          <w:szCs w:val="24"/>
        </w:rPr>
        <w:lastRenderedPageBreak/>
        <w:t xml:space="preserve">agree with the United States Court of Appeals for the Sixth Circuit in </w:t>
      </w:r>
      <w:r w:rsidR="001D16FD">
        <w:rPr>
          <w:rFonts w:ascii="Times New Roman" w:hAnsi="Times New Roman"/>
          <w:i/>
          <w:sz w:val="24"/>
          <w:szCs w:val="24"/>
        </w:rPr>
        <w:t>Montgomery County</w:t>
      </w:r>
      <w:r w:rsidR="004D79C6">
        <w:rPr>
          <w:rFonts w:ascii="Times New Roman" w:hAnsi="Times New Roman"/>
          <w:i/>
          <w:sz w:val="24"/>
          <w:szCs w:val="24"/>
        </w:rPr>
        <w:t xml:space="preserve"> </w:t>
      </w:r>
      <w:r w:rsidR="001D16FD">
        <w:rPr>
          <w:rFonts w:ascii="Times New Roman" w:hAnsi="Times New Roman"/>
          <w:i/>
          <w:sz w:val="24"/>
          <w:szCs w:val="24"/>
        </w:rPr>
        <w:t>v. Federal Communications Commission</w:t>
      </w:r>
      <w:r w:rsidR="00C604C9">
        <w:rPr>
          <w:rFonts w:ascii="Times New Roman" w:hAnsi="Times New Roman"/>
          <w:sz w:val="24"/>
          <w:szCs w:val="24"/>
        </w:rPr>
        <w:t xml:space="preserve"> for the </w:t>
      </w:r>
      <w:r w:rsidR="00A31881">
        <w:rPr>
          <w:rFonts w:ascii="Times New Roman" w:hAnsi="Times New Roman"/>
          <w:sz w:val="24"/>
          <w:szCs w:val="24"/>
        </w:rPr>
        <w:t>reasons described below.</w:t>
      </w:r>
    </w:p>
    <w:p w14:paraId="6AD8A276" w14:textId="77777777" w:rsidR="0098563F" w:rsidRPr="003462C0" w:rsidRDefault="0098563F" w:rsidP="0098563F">
      <w:pPr>
        <w:pStyle w:val="NoSpacing"/>
        <w:numPr>
          <w:ilvl w:val="0"/>
          <w:numId w:val="5"/>
        </w:numPr>
        <w:spacing w:line="480" w:lineRule="auto"/>
        <w:rPr>
          <w:rFonts w:ascii="Times New Roman" w:hAnsi="Times New Roman" w:cs="Times New Roman (Body CS)"/>
          <w:smallCaps/>
          <w:sz w:val="24"/>
          <w:szCs w:val="24"/>
        </w:rPr>
      </w:pPr>
      <w:r w:rsidRPr="003462C0">
        <w:rPr>
          <w:rFonts w:ascii="Times New Roman" w:hAnsi="Times New Roman" w:cs="Times New Roman (Body CS)"/>
          <w:smallCaps/>
          <w:sz w:val="24"/>
          <w:szCs w:val="24"/>
        </w:rPr>
        <w:t>The Commission’s Interpretation of the Definition of a Franchise Fee Undermines Congressional Intent</w:t>
      </w:r>
    </w:p>
    <w:p w14:paraId="13DD7178" w14:textId="6B391861" w:rsidR="006863F3" w:rsidRDefault="00C604C9" w:rsidP="00A23279">
      <w:pPr>
        <w:pStyle w:val="NoSpacing"/>
        <w:spacing w:line="480" w:lineRule="auto"/>
        <w:ind w:firstLine="720"/>
        <w:rPr>
          <w:rFonts w:ascii="Times New Roman" w:hAnsi="Times New Roman"/>
          <w:sz w:val="24"/>
          <w:szCs w:val="24"/>
        </w:rPr>
      </w:pPr>
      <w:r>
        <w:rPr>
          <w:rFonts w:ascii="Times New Roman" w:hAnsi="Times New Roman"/>
          <w:sz w:val="24"/>
          <w:szCs w:val="24"/>
        </w:rPr>
        <w:t>The Commission</w:t>
      </w:r>
      <w:r w:rsidR="00842B12">
        <w:rPr>
          <w:rFonts w:ascii="Times New Roman" w:hAnsi="Times New Roman"/>
          <w:sz w:val="24"/>
          <w:szCs w:val="24"/>
        </w:rPr>
        <w:t xml:space="preserve"> errs in its tentative</w:t>
      </w:r>
      <w:r>
        <w:rPr>
          <w:rFonts w:ascii="Times New Roman" w:hAnsi="Times New Roman"/>
          <w:sz w:val="24"/>
          <w:szCs w:val="24"/>
        </w:rPr>
        <w:t xml:space="preserve"> conclusion that </w:t>
      </w:r>
      <w:r w:rsidR="00A31881">
        <w:rPr>
          <w:rFonts w:ascii="Times New Roman" w:hAnsi="Times New Roman"/>
          <w:sz w:val="24"/>
          <w:szCs w:val="24"/>
        </w:rPr>
        <w:t xml:space="preserve">the treatment of </w:t>
      </w:r>
      <w:r>
        <w:rPr>
          <w:rFonts w:ascii="Times New Roman" w:hAnsi="Times New Roman"/>
          <w:sz w:val="24"/>
          <w:szCs w:val="24"/>
        </w:rPr>
        <w:t xml:space="preserve">cable-related in-kind contributions as franchise fees is consistent with statutory language and legislative history is incorrect. </w:t>
      </w:r>
      <w:r w:rsidRPr="00E04DD3">
        <w:rPr>
          <w:rFonts w:ascii="Times New Roman" w:hAnsi="Times New Roman"/>
          <w:sz w:val="24"/>
          <w:szCs w:val="24"/>
        </w:rPr>
        <w:t xml:space="preserve">The contention that </w:t>
      </w:r>
      <w:r w:rsidR="00C52C55">
        <w:rPr>
          <w:rFonts w:ascii="Times New Roman" w:hAnsi="Times New Roman"/>
          <w:sz w:val="24"/>
          <w:szCs w:val="24"/>
        </w:rPr>
        <w:t xml:space="preserve">a </w:t>
      </w:r>
      <w:r w:rsidRPr="00E04DD3">
        <w:rPr>
          <w:rFonts w:ascii="Times New Roman" w:hAnsi="Times New Roman"/>
          <w:sz w:val="24"/>
          <w:szCs w:val="24"/>
        </w:rPr>
        <w:t xml:space="preserve">cable-related in-kind </w:t>
      </w:r>
      <w:r w:rsidR="00C52C55">
        <w:rPr>
          <w:rFonts w:ascii="Times New Roman" w:hAnsi="Times New Roman"/>
          <w:sz w:val="24"/>
          <w:szCs w:val="24"/>
        </w:rPr>
        <w:t xml:space="preserve">contribution </w:t>
      </w:r>
      <w:r w:rsidRPr="00E04DD3">
        <w:rPr>
          <w:rFonts w:ascii="Times New Roman" w:hAnsi="Times New Roman"/>
          <w:sz w:val="24"/>
          <w:szCs w:val="24"/>
        </w:rPr>
        <w:t xml:space="preserve">is a franchise fee </w:t>
      </w:r>
      <w:r w:rsidR="0031108E">
        <w:rPr>
          <w:rFonts w:ascii="Times New Roman" w:hAnsi="Times New Roman"/>
          <w:sz w:val="24"/>
          <w:szCs w:val="24"/>
        </w:rPr>
        <w:t xml:space="preserve">conflicts with </w:t>
      </w:r>
      <w:r>
        <w:rPr>
          <w:rFonts w:ascii="Times New Roman" w:hAnsi="Times New Roman"/>
          <w:sz w:val="24"/>
          <w:szCs w:val="24"/>
        </w:rPr>
        <w:t>C</w:t>
      </w:r>
      <w:r w:rsidRPr="00E04DD3">
        <w:rPr>
          <w:rFonts w:ascii="Times New Roman" w:hAnsi="Times New Roman"/>
          <w:sz w:val="24"/>
          <w:szCs w:val="24"/>
        </w:rPr>
        <w:t>ongressional intent because, as the Sixth Circuit stated, this contention undermine</w:t>
      </w:r>
      <w:r w:rsidR="0031108E">
        <w:rPr>
          <w:rFonts w:ascii="Times New Roman" w:hAnsi="Times New Roman"/>
          <w:sz w:val="24"/>
          <w:szCs w:val="24"/>
        </w:rPr>
        <w:t>s</w:t>
      </w:r>
      <w:r w:rsidRPr="00E04DD3">
        <w:rPr>
          <w:rFonts w:ascii="Times New Roman" w:hAnsi="Times New Roman"/>
          <w:sz w:val="24"/>
          <w:szCs w:val="24"/>
        </w:rPr>
        <w:t xml:space="preserve"> various provisions of the Cable Act</w:t>
      </w:r>
      <w:r>
        <w:rPr>
          <w:rFonts w:ascii="Times New Roman" w:hAnsi="Times New Roman"/>
          <w:sz w:val="24"/>
          <w:szCs w:val="24"/>
        </w:rPr>
        <w:t>,</w:t>
      </w:r>
      <w:r w:rsidRPr="00E04DD3">
        <w:rPr>
          <w:rFonts w:ascii="Times New Roman" w:hAnsi="Times New Roman"/>
          <w:sz w:val="24"/>
          <w:szCs w:val="24"/>
        </w:rPr>
        <w:t xml:space="preserve"> which allow </w:t>
      </w:r>
      <w:r>
        <w:rPr>
          <w:rFonts w:ascii="Times New Roman" w:hAnsi="Times New Roman"/>
          <w:sz w:val="24"/>
          <w:szCs w:val="24"/>
        </w:rPr>
        <w:t>in some instances and</w:t>
      </w:r>
      <w:r w:rsidRPr="00E04DD3">
        <w:rPr>
          <w:rFonts w:ascii="Times New Roman" w:hAnsi="Times New Roman"/>
          <w:sz w:val="24"/>
          <w:szCs w:val="24"/>
        </w:rPr>
        <w:t xml:space="preserve"> require </w:t>
      </w:r>
      <w:r>
        <w:rPr>
          <w:rFonts w:ascii="Times New Roman" w:hAnsi="Times New Roman"/>
          <w:sz w:val="24"/>
          <w:szCs w:val="24"/>
        </w:rPr>
        <w:t xml:space="preserve">in others, </w:t>
      </w:r>
      <w:r w:rsidRPr="00E04DD3">
        <w:rPr>
          <w:rFonts w:ascii="Times New Roman" w:hAnsi="Times New Roman"/>
          <w:sz w:val="24"/>
          <w:szCs w:val="24"/>
        </w:rPr>
        <w:t>LFAs to impose cable-related obligations as part of their cable franchises.</w:t>
      </w:r>
      <w:r w:rsidR="00664172">
        <w:rPr>
          <w:rStyle w:val="FootnoteReference"/>
          <w:rFonts w:ascii="Times New Roman" w:hAnsi="Times New Roman"/>
          <w:sz w:val="24"/>
          <w:szCs w:val="24"/>
        </w:rPr>
        <w:footnoteReference w:id="2"/>
      </w:r>
      <w:r w:rsidRPr="00E04DD3">
        <w:rPr>
          <w:rFonts w:ascii="Times New Roman" w:hAnsi="Times New Roman"/>
          <w:sz w:val="24"/>
          <w:szCs w:val="24"/>
        </w:rPr>
        <w:t xml:space="preserve"> For example, the Cable Act allows </w:t>
      </w:r>
      <w:r w:rsidR="0040490F">
        <w:rPr>
          <w:rFonts w:ascii="Times New Roman" w:hAnsi="Times New Roman"/>
          <w:sz w:val="24"/>
          <w:szCs w:val="24"/>
        </w:rPr>
        <w:t>LFAs</w:t>
      </w:r>
      <w:r w:rsidRPr="00E04DD3">
        <w:rPr>
          <w:rFonts w:ascii="Times New Roman" w:hAnsi="Times New Roman"/>
          <w:sz w:val="24"/>
          <w:szCs w:val="24"/>
        </w:rPr>
        <w:t xml:space="preserve"> </w:t>
      </w:r>
      <w:r w:rsidR="0040490F">
        <w:rPr>
          <w:rFonts w:ascii="Times New Roman" w:hAnsi="Times New Roman"/>
          <w:sz w:val="24"/>
          <w:szCs w:val="24"/>
        </w:rPr>
        <w:t xml:space="preserve">to </w:t>
      </w:r>
      <w:r w:rsidRPr="00E04DD3">
        <w:rPr>
          <w:rFonts w:ascii="Times New Roman" w:hAnsi="Times New Roman"/>
          <w:sz w:val="24"/>
          <w:szCs w:val="24"/>
        </w:rPr>
        <w:t>require channel capacity for public, educational, or government programming (“PEG”)</w:t>
      </w:r>
      <w:r w:rsidR="0040490F">
        <w:rPr>
          <w:rFonts w:ascii="Times New Roman" w:hAnsi="Times New Roman"/>
          <w:sz w:val="24"/>
          <w:szCs w:val="24"/>
        </w:rPr>
        <w:t xml:space="preserve"> as a condition of the franchise agreement</w:t>
      </w:r>
      <w:r w:rsidRPr="00E04DD3">
        <w:rPr>
          <w:rFonts w:ascii="Times New Roman" w:hAnsi="Times New Roman"/>
          <w:sz w:val="24"/>
          <w:szCs w:val="24"/>
        </w:rPr>
        <w:t>.</w:t>
      </w:r>
      <w:r w:rsidR="00664172">
        <w:rPr>
          <w:rStyle w:val="FootnoteReference"/>
          <w:rFonts w:ascii="Times New Roman" w:hAnsi="Times New Roman"/>
          <w:sz w:val="24"/>
          <w:szCs w:val="24"/>
        </w:rPr>
        <w:footnoteReference w:id="3"/>
      </w:r>
      <w:r w:rsidRPr="00E04DD3">
        <w:rPr>
          <w:rFonts w:ascii="Times New Roman" w:hAnsi="Times New Roman"/>
          <w:sz w:val="24"/>
          <w:szCs w:val="24"/>
        </w:rPr>
        <w:t xml:space="preserve"> Moreover, the Act allows local governments to require institutional networks (“</w:t>
      </w:r>
      <w:proofErr w:type="spellStart"/>
      <w:r w:rsidRPr="00E04DD3">
        <w:rPr>
          <w:rFonts w:ascii="Times New Roman" w:hAnsi="Times New Roman"/>
          <w:sz w:val="24"/>
          <w:szCs w:val="24"/>
        </w:rPr>
        <w:t>i</w:t>
      </w:r>
      <w:proofErr w:type="spellEnd"/>
      <w:r w:rsidRPr="00E04DD3">
        <w:rPr>
          <w:rFonts w:ascii="Times New Roman" w:hAnsi="Times New Roman"/>
          <w:sz w:val="24"/>
          <w:szCs w:val="24"/>
        </w:rPr>
        <w:t>-Nets”) designated for educational and governmental use.</w:t>
      </w:r>
      <w:r w:rsidR="00664172">
        <w:rPr>
          <w:rStyle w:val="FootnoteReference"/>
          <w:rFonts w:ascii="Times New Roman" w:hAnsi="Times New Roman"/>
          <w:sz w:val="24"/>
          <w:szCs w:val="24"/>
        </w:rPr>
        <w:footnoteReference w:id="4"/>
      </w:r>
      <w:r w:rsidRPr="00E04DD3">
        <w:rPr>
          <w:rFonts w:ascii="Times New Roman" w:hAnsi="Times New Roman"/>
          <w:sz w:val="24"/>
          <w:szCs w:val="24"/>
        </w:rPr>
        <w:t xml:space="preserve"> Finally, the Act requires LFAs to ensure potential residential cable subscribers are not denied cable service due to the income of the area where these residents reside, which often results in build-out obligations imposed by LFAs as required under the Act.</w:t>
      </w:r>
      <w:r w:rsidR="00664172">
        <w:rPr>
          <w:rStyle w:val="FootnoteReference"/>
          <w:rFonts w:ascii="Times New Roman" w:hAnsi="Times New Roman"/>
          <w:sz w:val="24"/>
          <w:szCs w:val="24"/>
        </w:rPr>
        <w:footnoteReference w:id="5"/>
      </w:r>
      <w:r w:rsidRPr="00E04DD3">
        <w:rPr>
          <w:rFonts w:ascii="Times New Roman" w:hAnsi="Times New Roman"/>
          <w:sz w:val="24"/>
          <w:szCs w:val="24"/>
        </w:rPr>
        <w:t xml:space="preserve"> </w:t>
      </w:r>
    </w:p>
    <w:p w14:paraId="3156D1F3" w14:textId="77777777" w:rsidR="00B17B13" w:rsidRDefault="00C604C9" w:rsidP="0098563F">
      <w:pPr>
        <w:pStyle w:val="NoSpacing"/>
        <w:spacing w:line="480" w:lineRule="auto"/>
        <w:ind w:firstLine="720"/>
        <w:rPr>
          <w:rFonts w:ascii="Times New Roman" w:hAnsi="Times New Roman"/>
          <w:sz w:val="24"/>
          <w:szCs w:val="24"/>
        </w:rPr>
      </w:pPr>
      <w:r>
        <w:rPr>
          <w:rFonts w:ascii="Times New Roman" w:hAnsi="Times New Roman"/>
          <w:sz w:val="24"/>
          <w:szCs w:val="24"/>
        </w:rPr>
        <w:lastRenderedPageBreak/>
        <w:t xml:space="preserve">It stands to reason that if Congress intended to subject all cable-related in-kind contributions to the statutory franchise fee cap, it would not have created these statutory allowances and requirements for LFAs to exact. Instead, Congress would have merely written the statute to require exactions of any kind regardless of whether they are monetary or in lieu of monetary contributions be subject to the statutory 5% fee cap. </w:t>
      </w:r>
    </w:p>
    <w:p w14:paraId="6AC12A72" w14:textId="38063A18" w:rsidR="00155C22" w:rsidRDefault="00FD4CB3" w:rsidP="00412DE8">
      <w:pPr>
        <w:pStyle w:val="NoSpacing"/>
        <w:spacing w:line="480" w:lineRule="auto"/>
        <w:ind w:firstLine="720"/>
        <w:rPr>
          <w:rFonts w:ascii="Times New Roman" w:hAnsi="Times New Roman"/>
          <w:sz w:val="24"/>
          <w:szCs w:val="24"/>
        </w:rPr>
      </w:pPr>
      <w:r>
        <w:rPr>
          <w:rFonts w:ascii="Times New Roman" w:hAnsi="Times New Roman"/>
          <w:sz w:val="24"/>
          <w:szCs w:val="24"/>
        </w:rPr>
        <w:t>Aside from our concerns as outlined above,</w:t>
      </w:r>
      <w:r w:rsidR="00B17B13">
        <w:rPr>
          <w:rFonts w:ascii="Times New Roman" w:hAnsi="Times New Roman"/>
          <w:sz w:val="24"/>
          <w:szCs w:val="24"/>
        </w:rPr>
        <w:t xml:space="preserve"> t</w:t>
      </w:r>
      <w:r w:rsidR="008454D3">
        <w:rPr>
          <w:rFonts w:ascii="Times New Roman" w:hAnsi="Times New Roman"/>
          <w:sz w:val="24"/>
          <w:szCs w:val="24"/>
        </w:rPr>
        <w:t xml:space="preserve">he Commission does not have the authority to change the nature of franchise fees under </w:t>
      </w:r>
      <w:r w:rsidR="008454D3">
        <w:rPr>
          <w:rFonts w:ascii="Times New Roman" w:hAnsi="Times New Roman"/>
          <w:i/>
          <w:sz w:val="24"/>
          <w:szCs w:val="24"/>
        </w:rPr>
        <w:t>Chevron</w:t>
      </w:r>
      <w:r w:rsidR="008454D3">
        <w:rPr>
          <w:rFonts w:ascii="Times New Roman" w:hAnsi="Times New Roman"/>
          <w:sz w:val="24"/>
          <w:szCs w:val="24"/>
        </w:rPr>
        <w:t>.</w:t>
      </w:r>
      <w:r w:rsidR="00811AA5">
        <w:rPr>
          <w:rFonts w:ascii="Times New Roman" w:hAnsi="Times New Roman"/>
          <w:sz w:val="24"/>
          <w:szCs w:val="24"/>
        </w:rPr>
        <w:t xml:space="preserve"> Considering that the Act has been interpreted the same way for close to 40 years lends itself to our contention that it is not ambiguous. Because the Act lacks ambiguity, the Commission is not empowered to rewrite an act of Congress to suit its preference.</w:t>
      </w:r>
      <w:r w:rsidR="008454D3">
        <w:rPr>
          <w:rFonts w:ascii="Times New Roman" w:hAnsi="Times New Roman"/>
          <w:sz w:val="24"/>
          <w:szCs w:val="24"/>
        </w:rPr>
        <w:t xml:space="preserve"> </w:t>
      </w:r>
      <w:r w:rsidR="00B17B13">
        <w:rPr>
          <w:rFonts w:ascii="Times New Roman" w:hAnsi="Times New Roman"/>
          <w:sz w:val="24"/>
          <w:szCs w:val="24"/>
        </w:rPr>
        <w:t>The Act does not allow a federal agency to regulate the amount of the franchise fee.</w:t>
      </w:r>
      <w:r w:rsidR="00B17B13">
        <w:rPr>
          <w:rStyle w:val="FootnoteReference"/>
          <w:rFonts w:ascii="Times New Roman" w:hAnsi="Times New Roman"/>
          <w:sz w:val="24"/>
          <w:szCs w:val="24"/>
        </w:rPr>
        <w:footnoteReference w:id="6"/>
      </w:r>
      <w:r w:rsidR="00B17B13">
        <w:rPr>
          <w:rFonts w:ascii="Times New Roman" w:hAnsi="Times New Roman"/>
          <w:sz w:val="24"/>
          <w:szCs w:val="24"/>
        </w:rPr>
        <w:t xml:space="preserve"> By </w:t>
      </w:r>
      <w:r w:rsidR="00AB2B8F">
        <w:rPr>
          <w:rFonts w:ascii="Times New Roman" w:hAnsi="Times New Roman"/>
          <w:sz w:val="24"/>
          <w:szCs w:val="24"/>
        </w:rPr>
        <w:t>redefining</w:t>
      </w:r>
      <w:r w:rsidR="00B17B13">
        <w:rPr>
          <w:rFonts w:ascii="Times New Roman" w:hAnsi="Times New Roman"/>
          <w:sz w:val="24"/>
          <w:szCs w:val="24"/>
        </w:rPr>
        <w:t xml:space="preserve"> </w:t>
      </w:r>
      <w:r w:rsidR="00AB2B8F">
        <w:rPr>
          <w:rFonts w:ascii="Times New Roman" w:hAnsi="Times New Roman"/>
          <w:sz w:val="24"/>
          <w:szCs w:val="24"/>
        </w:rPr>
        <w:t>“</w:t>
      </w:r>
      <w:r w:rsidR="00B17B13">
        <w:rPr>
          <w:rFonts w:ascii="Times New Roman" w:hAnsi="Times New Roman"/>
          <w:sz w:val="24"/>
          <w:szCs w:val="24"/>
        </w:rPr>
        <w:t>franchise fee</w:t>
      </w:r>
      <w:r w:rsidR="00AB2B8F">
        <w:rPr>
          <w:rFonts w:ascii="Times New Roman" w:hAnsi="Times New Roman"/>
          <w:sz w:val="24"/>
          <w:szCs w:val="24"/>
        </w:rPr>
        <w:t>”</w:t>
      </w:r>
      <w:r w:rsidR="00B17B13">
        <w:rPr>
          <w:rFonts w:ascii="Times New Roman" w:hAnsi="Times New Roman"/>
          <w:sz w:val="24"/>
          <w:szCs w:val="24"/>
        </w:rPr>
        <w:t xml:space="preserve">, it seems as if the Commission </w:t>
      </w:r>
      <w:r w:rsidR="00412DE8">
        <w:rPr>
          <w:rFonts w:ascii="Times New Roman" w:hAnsi="Times New Roman"/>
          <w:sz w:val="24"/>
          <w:szCs w:val="24"/>
        </w:rPr>
        <w:t>seeks</w:t>
      </w:r>
      <w:r w:rsidR="00B17B13">
        <w:rPr>
          <w:rFonts w:ascii="Times New Roman" w:hAnsi="Times New Roman"/>
          <w:sz w:val="24"/>
          <w:szCs w:val="24"/>
        </w:rPr>
        <w:t xml:space="preserve"> to regulate the amount of the franchise fee itself and how that fee is paid. </w:t>
      </w:r>
      <w:r w:rsidR="008454D3">
        <w:rPr>
          <w:rFonts w:ascii="Times New Roman" w:hAnsi="Times New Roman"/>
          <w:sz w:val="24"/>
          <w:szCs w:val="24"/>
        </w:rPr>
        <w:t xml:space="preserve">Congress clearly intended for the issue of franchise fees to be regulated by statute, not in the hands of the agency. </w:t>
      </w:r>
      <w:r w:rsidR="00CA7970">
        <w:rPr>
          <w:rFonts w:ascii="Times New Roman" w:hAnsi="Times New Roman"/>
          <w:sz w:val="24"/>
          <w:szCs w:val="24"/>
        </w:rPr>
        <w:t>From a more practical standpoint, the definition</w:t>
      </w:r>
      <w:r w:rsidR="00C422D1">
        <w:rPr>
          <w:rFonts w:ascii="Times New Roman" w:hAnsi="Times New Roman"/>
          <w:sz w:val="24"/>
          <w:szCs w:val="24"/>
        </w:rPr>
        <w:t xml:space="preserve"> of “franchise fees”</w:t>
      </w:r>
      <w:r w:rsidR="00CA7970">
        <w:rPr>
          <w:rFonts w:ascii="Times New Roman" w:hAnsi="Times New Roman"/>
          <w:sz w:val="24"/>
          <w:szCs w:val="24"/>
        </w:rPr>
        <w:t xml:space="preserve"> and the LFA’s exercise of their rights under the statute have stood the test of time.  Each cable provider flourished financially until their own high rates and imperious practices led to cord cutting, thereby switching their product from cable to Internet and wireless services.</w:t>
      </w:r>
    </w:p>
    <w:p w14:paraId="0F864915" w14:textId="77777777" w:rsidR="00155C22" w:rsidRPr="003462C0" w:rsidRDefault="00D46642" w:rsidP="00EA0E33">
      <w:pPr>
        <w:pStyle w:val="NoSpacing"/>
        <w:numPr>
          <w:ilvl w:val="0"/>
          <w:numId w:val="5"/>
        </w:numPr>
        <w:spacing w:line="480" w:lineRule="auto"/>
        <w:rPr>
          <w:rFonts w:ascii="Times New Roman" w:hAnsi="Times New Roman" w:cs="Times New Roman (Body CS)"/>
          <w:smallCaps/>
          <w:sz w:val="24"/>
          <w:szCs w:val="24"/>
        </w:rPr>
      </w:pPr>
      <w:r w:rsidRPr="003462C0">
        <w:rPr>
          <w:rFonts w:ascii="Times New Roman" w:hAnsi="Times New Roman" w:cs="Times New Roman (Body CS)"/>
          <w:smallCaps/>
          <w:sz w:val="24"/>
          <w:szCs w:val="24"/>
        </w:rPr>
        <w:t>Expanding</w:t>
      </w:r>
      <w:r w:rsidR="00485E6D" w:rsidRPr="003462C0">
        <w:rPr>
          <w:rFonts w:ascii="Times New Roman" w:hAnsi="Times New Roman" w:cs="Times New Roman (Body CS)"/>
          <w:smallCaps/>
          <w:sz w:val="24"/>
          <w:szCs w:val="24"/>
        </w:rPr>
        <w:t xml:space="preserve"> the Definition of Franchise Fees will Undermine LFAs Ability to Impose Obligations on Franchisees</w:t>
      </w:r>
    </w:p>
    <w:p w14:paraId="671F331A" w14:textId="44A598BA" w:rsidR="00155C22" w:rsidRDefault="00155C22" w:rsidP="004B2CB0">
      <w:pPr>
        <w:pStyle w:val="NoSpacing"/>
        <w:spacing w:line="480" w:lineRule="auto"/>
        <w:ind w:firstLine="720"/>
        <w:rPr>
          <w:rFonts w:ascii="Times New Roman" w:hAnsi="Times New Roman"/>
          <w:sz w:val="24"/>
          <w:szCs w:val="24"/>
        </w:rPr>
      </w:pPr>
      <w:r>
        <w:rPr>
          <w:rFonts w:ascii="Times New Roman" w:hAnsi="Times New Roman"/>
          <w:sz w:val="24"/>
          <w:szCs w:val="24"/>
        </w:rPr>
        <w:t>For similar reasons, treating cable-related in-kind contributions as franchise fees would undermine the provisions of the Act that require or authorize LFAs to impose such obligations on franchisees</w:t>
      </w:r>
      <w:r w:rsidR="000417BA">
        <w:rPr>
          <w:rFonts w:ascii="Times New Roman" w:hAnsi="Times New Roman"/>
          <w:sz w:val="24"/>
          <w:szCs w:val="24"/>
        </w:rPr>
        <w:t xml:space="preserve">, not as contributions, </w:t>
      </w:r>
      <w:r w:rsidR="000417BA">
        <w:rPr>
          <w:rFonts w:ascii="Times New Roman" w:hAnsi="Times New Roman"/>
          <w:sz w:val="24"/>
          <w:szCs w:val="24"/>
        </w:rPr>
        <w:t xml:space="preserve">but as an exercise of the Congressional intent to provide the </w:t>
      </w:r>
      <w:r w:rsidR="000417BA">
        <w:rPr>
          <w:rFonts w:ascii="Times New Roman" w:hAnsi="Times New Roman"/>
          <w:sz w:val="24"/>
          <w:szCs w:val="24"/>
        </w:rPr>
        <w:lastRenderedPageBreak/>
        <w:t>public important benefits derived from the award of the franchise</w:t>
      </w:r>
      <w:r>
        <w:rPr>
          <w:rFonts w:ascii="Times New Roman" w:hAnsi="Times New Roman"/>
          <w:sz w:val="24"/>
          <w:szCs w:val="24"/>
        </w:rPr>
        <w:t>.</w:t>
      </w:r>
      <w:r w:rsidR="00485E6D">
        <w:rPr>
          <w:rFonts w:ascii="Times New Roman" w:hAnsi="Times New Roman"/>
          <w:sz w:val="24"/>
          <w:szCs w:val="24"/>
        </w:rPr>
        <w:t xml:space="preserve"> </w:t>
      </w:r>
      <w:r w:rsidR="000417BA">
        <w:rPr>
          <w:rFonts w:ascii="Times New Roman" w:hAnsi="Times New Roman"/>
          <w:sz w:val="24"/>
          <w:szCs w:val="24"/>
        </w:rPr>
        <w:t xml:space="preserve">Should </w:t>
      </w:r>
      <w:r w:rsidR="00485E6D">
        <w:rPr>
          <w:rFonts w:ascii="Times New Roman" w:hAnsi="Times New Roman"/>
          <w:sz w:val="24"/>
          <w:szCs w:val="24"/>
        </w:rPr>
        <w:t>the retail value of cable-related in-kind contributions will undoubtedly exceed the cap on franchise fees</w:t>
      </w:r>
      <w:r w:rsidR="001F6665">
        <w:rPr>
          <w:rFonts w:ascii="Times New Roman" w:hAnsi="Times New Roman"/>
          <w:sz w:val="24"/>
          <w:szCs w:val="24"/>
        </w:rPr>
        <w:t xml:space="preserve">, will the </w:t>
      </w:r>
      <w:r w:rsidR="00485E6D">
        <w:rPr>
          <w:rFonts w:ascii="Times New Roman" w:hAnsi="Times New Roman"/>
          <w:sz w:val="24"/>
          <w:szCs w:val="24"/>
        </w:rPr>
        <w:t xml:space="preserve">LFAs </w:t>
      </w:r>
      <w:r w:rsidR="001F6665">
        <w:rPr>
          <w:rFonts w:ascii="Times New Roman" w:hAnsi="Times New Roman"/>
          <w:sz w:val="24"/>
          <w:szCs w:val="24"/>
        </w:rPr>
        <w:t>be forced to pay the cable providers?</w:t>
      </w:r>
      <w:r w:rsidR="00485E6D">
        <w:rPr>
          <w:rFonts w:ascii="Times New Roman" w:hAnsi="Times New Roman"/>
          <w:sz w:val="24"/>
          <w:szCs w:val="24"/>
        </w:rPr>
        <w:t xml:space="preserve"> </w:t>
      </w:r>
      <w:r w:rsidR="00686861">
        <w:rPr>
          <w:rFonts w:ascii="Times New Roman" w:hAnsi="Times New Roman"/>
          <w:sz w:val="24"/>
          <w:szCs w:val="24"/>
        </w:rPr>
        <w:t>In such a situation, it seems that the LFAs would owe cable providers and if this were to happen, localities would have to terminate public access channels and other services,</w:t>
      </w:r>
      <w:r w:rsidR="004B2CB0" w:rsidRPr="004B2CB0">
        <w:rPr>
          <w:rFonts w:ascii="Times New Roman" w:hAnsi="Times New Roman"/>
          <w:sz w:val="24"/>
          <w:szCs w:val="24"/>
        </w:rPr>
        <w:t xml:space="preserve"> </w:t>
      </w:r>
      <w:r w:rsidR="004B2CB0">
        <w:rPr>
          <w:rFonts w:ascii="Times New Roman" w:hAnsi="Times New Roman"/>
          <w:sz w:val="24"/>
          <w:szCs w:val="24"/>
        </w:rPr>
        <w:t xml:space="preserve">specifically </w:t>
      </w:r>
      <w:r w:rsidR="004B2CB0">
        <w:rPr>
          <w:rFonts w:ascii="Times New Roman" w:hAnsi="Times New Roman"/>
          <w:sz w:val="24"/>
          <w:szCs w:val="24"/>
        </w:rPr>
        <w:t xml:space="preserve">permitted </w:t>
      </w:r>
      <w:r w:rsidR="004B2CB0">
        <w:rPr>
          <w:rFonts w:ascii="Times New Roman" w:hAnsi="Times New Roman"/>
          <w:sz w:val="24"/>
          <w:szCs w:val="24"/>
        </w:rPr>
        <w:t>in the Act and designed to benefit the public whose rights of way are being appropriated for use by the cable companies.  In some areas the affect could lead to the complete loss of local public access</w:t>
      </w:r>
      <w:r w:rsidR="00686861">
        <w:rPr>
          <w:rFonts w:ascii="Times New Roman" w:hAnsi="Times New Roman"/>
          <w:sz w:val="24"/>
          <w:szCs w:val="24"/>
        </w:rPr>
        <w:t xml:space="preserve"> in jurisdictions where</w:t>
      </w:r>
      <w:r w:rsidR="004731B3">
        <w:rPr>
          <w:rFonts w:ascii="Times New Roman" w:hAnsi="Times New Roman"/>
          <w:sz w:val="24"/>
          <w:szCs w:val="24"/>
        </w:rPr>
        <w:t xml:space="preserve">, under </w:t>
      </w:r>
      <w:r w:rsidR="009F59A6">
        <w:rPr>
          <w:rFonts w:ascii="Times New Roman" w:hAnsi="Times New Roman"/>
          <w:sz w:val="24"/>
          <w:szCs w:val="24"/>
        </w:rPr>
        <w:t>the state constitution or state law</w:t>
      </w:r>
      <w:r w:rsidR="004731B3">
        <w:rPr>
          <w:rFonts w:ascii="Times New Roman" w:hAnsi="Times New Roman"/>
          <w:sz w:val="24"/>
          <w:szCs w:val="24"/>
        </w:rPr>
        <w:t>,</w:t>
      </w:r>
      <w:r w:rsidR="00686861">
        <w:rPr>
          <w:rFonts w:ascii="Times New Roman" w:hAnsi="Times New Roman"/>
          <w:sz w:val="24"/>
          <w:szCs w:val="24"/>
        </w:rPr>
        <w:t xml:space="preserve"> government entities cannot provide funds to one another to pay for services</w:t>
      </w:r>
      <w:r w:rsidR="0077268B">
        <w:rPr>
          <w:rFonts w:ascii="Times New Roman" w:hAnsi="Times New Roman"/>
          <w:sz w:val="24"/>
          <w:szCs w:val="24"/>
        </w:rPr>
        <w:t>.</w:t>
      </w:r>
    </w:p>
    <w:p w14:paraId="32F8666E" w14:textId="77777777" w:rsidR="0098563F" w:rsidRPr="003462C0" w:rsidRDefault="0098563F" w:rsidP="00EA0E33">
      <w:pPr>
        <w:pStyle w:val="NoSpacing"/>
        <w:numPr>
          <w:ilvl w:val="0"/>
          <w:numId w:val="5"/>
        </w:numPr>
        <w:spacing w:line="480" w:lineRule="auto"/>
        <w:rPr>
          <w:rFonts w:ascii="Times New Roman" w:hAnsi="Times New Roman" w:cs="Times New Roman (Body CS)"/>
          <w:smallCaps/>
          <w:sz w:val="24"/>
          <w:szCs w:val="24"/>
        </w:rPr>
      </w:pPr>
      <w:r w:rsidRPr="003462C0">
        <w:rPr>
          <w:rFonts w:ascii="Times New Roman" w:hAnsi="Times New Roman" w:cs="Times New Roman (Body CS)"/>
          <w:smallCaps/>
          <w:sz w:val="24"/>
          <w:szCs w:val="24"/>
        </w:rPr>
        <w:t>Other Considerations</w:t>
      </w:r>
      <w:r w:rsidR="005B7A0C" w:rsidRPr="003462C0">
        <w:rPr>
          <w:rFonts w:ascii="Times New Roman" w:hAnsi="Times New Roman" w:cs="Times New Roman (Body CS)"/>
          <w:smallCaps/>
          <w:sz w:val="24"/>
          <w:szCs w:val="24"/>
        </w:rPr>
        <w:t xml:space="preserve"> Regarding Expanding the Definition of Cable Franchise Fees</w:t>
      </w:r>
    </w:p>
    <w:p w14:paraId="7E7E58B5" w14:textId="77777777" w:rsidR="00EE1F12" w:rsidRDefault="00EE1F12" w:rsidP="00EE1F12">
      <w:pPr>
        <w:pStyle w:val="NoSpacing"/>
        <w:spacing w:line="480" w:lineRule="auto"/>
        <w:ind w:firstLine="720"/>
        <w:rPr>
          <w:rFonts w:ascii="Times New Roman" w:hAnsi="Times New Roman"/>
          <w:sz w:val="24"/>
          <w:szCs w:val="24"/>
        </w:rPr>
      </w:pPr>
      <w:r>
        <w:rPr>
          <w:rFonts w:ascii="Times New Roman" w:hAnsi="Times New Roman"/>
          <w:sz w:val="24"/>
          <w:szCs w:val="24"/>
        </w:rPr>
        <w:t>There are other considerations the Commission has not addressed in the Second FNPRM regarding changes to the franchising rules. These changes will burden local governments and the constituents they serve.</w:t>
      </w:r>
    </w:p>
    <w:p w14:paraId="501E1449" w14:textId="77777777" w:rsidR="00B64AF9" w:rsidRDefault="001B75E6" w:rsidP="00EE1F12">
      <w:pPr>
        <w:pStyle w:val="NoSpacing"/>
        <w:spacing w:line="480" w:lineRule="auto"/>
        <w:ind w:firstLine="720"/>
        <w:rPr>
          <w:rFonts w:ascii="Times New Roman" w:hAnsi="Times New Roman"/>
          <w:sz w:val="24"/>
          <w:szCs w:val="24"/>
        </w:rPr>
      </w:pPr>
      <w:r>
        <w:rPr>
          <w:rFonts w:ascii="Times New Roman" w:hAnsi="Times New Roman"/>
          <w:sz w:val="24"/>
          <w:szCs w:val="24"/>
        </w:rPr>
        <w:t>One issue is that of</w:t>
      </w:r>
      <w:r w:rsidR="00EE1F12">
        <w:rPr>
          <w:rFonts w:ascii="Times New Roman" w:hAnsi="Times New Roman"/>
          <w:sz w:val="24"/>
          <w:szCs w:val="24"/>
        </w:rPr>
        <w:t xml:space="preserve"> certainty. As the Sixth Circuit pointed to, it is unclear what “in-kind” includes; it is a broad brush to paint with and the Commission has not released guidance on what falls under this category.</w:t>
      </w:r>
      <w:r w:rsidR="00EE1F12">
        <w:rPr>
          <w:rStyle w:val="FootnoteReference"/>
          <w:rFonts w:ascii="Times New Roman" w:hAnsi="Times New Roman"/>
          <w:sz w:val="24"/>
          <w:szCs w:val="24"/>
        </w:rPr>
        <w:footnoteReference w:id="7"/>
      </w:r>
      <w:r w:rsidR="00FD6C8D">
        <w:rPr>
          <w:rFonts w:ascii="Times New Roman" w:hAnsi="Times New Roman"/>
          <w:sz w:val="24"/>
          <w:szCs w:val="24"/>
        </w:rPr>
        <w:t xml:space="preserve"> It is also unclear what the Commission considers a cable versus non-cable purpose.</w:t>
      </w:r>
      <w:r w:rsidR="009726A1">
        <w:rPr>
          <w:rFonts w:ascii="Times New Roman" w:hAnsi="Times New Roman"/>
          <w:sz w:val="24"/>
          <w:szCs w:val="24"/>
        </w:rPr>
        <w:t xml:space="preserve"> It is unclear how the value of in-kind assets will be ascertained, whether the Commission will require a deduction in the depreciated value of those assets today, and it is unclear what the acquisition price of those assets would be. </w:t>
      </w:r>
      <w:r w:rsidR="00036439">
        <w:rPr>
          <w:rFonts w:ascii="Times New Roman" w:hAnsi="Times New Roman"/>
          <w:sz w:val="24"/>
          <w:szCs w:val="24"/>
        </w:rPr>
        <w:t>Furthermore, there are questions such as how the value of these non-monetary in-kind contributions will be calculated and what happens when that value exceeds the statutory 5% fee cap.</w:t>
      </w:r>
    </w:p>
    <w:p w14:paraId="2CFD0A2A" w14:textId="700A6187" w:rsidR="00DF0465" w:rsidRDefault="002909BD" w:rsidP="00DF0465">
      <w:pPr>
        <w:pStyle w:val="NoSpacing"/>
        <w:spacing w:line="480" w:lineRule="auto"/>
        <w:ind w:firstLine="720"/>
        <w:rPr>
          <w:rFonts w:ascii="Times New Roman" w:hAnsi="Times New Roman"/>
          <w:sz w:val="24"/>
          <w:szCs w:val="24"/>
        </w:rPr>
      </w:pPr>
      <w:r>
        <w:rPr>
          <w:rFonts w:ascii="Times New Roman" w:hAnsi="Times New Roman"/>
          <w:sz w:val="24"/>
          <w:szCs w:val="24"/>
        </w:rPr>
        <w:lastRenderedPageBreak/>
        <w:t xml:space="preserve"> </w:t>
      </w:r>
      <w:r w:rsidR="00B64AF9">
        <w:rPr>
          <w:rFonts w:ascii="Times New Roman" w:hAnsi="Times New Roman"/>
          <w:sz w:val="24"/>
          <w:szCs w:val="24"/>
        </w:rPr>
        <w:t>T</w:t>
      </w:r>
      <w:r>
        <w:rPr>
          <w:rFonts w:ascii="Times New Roman" w:hAnsi="Times New Roman"/>
          <w:sz w:val="24"/>
          <w:szCs w:val="24"/>
        </w:rPr>
        <w:t>here</w:t>
      </w:r>
      <w:r w:rsidR="0075178A">
        <w:rPr>
          <w:rFonts w:ascii="Times New Roman" w:hAnsi="Times New Roman"/>
          <w:sz w:val="24"/>
          <w:szCs w:val="24"/>
        </w:rPr>
        <w:t xml:space="preserve"> are</w:t>
      </w:r>
      <w:r>
        <w:rPr>
          <w:rFonts w:ascii="Times New Roman" w:hAnsi="Times New Roman"/>
          <w:sz w:val="24"/>
          <w:szCs w:val="24"/>
        </w:rPr>
        <w:t xml:space="preserve"> </w:t>
      </w:r>
      <w:r w:rsidR="00B64AF9">
        <w:rPr>
          <w:rFonts w:ascii="Times New Roman" w:hAnsi="Times New Roman"/>
          <w:sz w:val="24"/>
          <w:szCs w:val="24"/>
        </w:rPr>
        <w:t>also</w:t>
      </w:r>
      <w:r>
        <w:rPr>
          <w:rFonts w:ascii="Times New Roman" w:hAnsi="Times New Roman"/>
          <w:sz w:val="24"/>
          <w:szCs w:val="24"/>
        </w:rPr>
        <w:t xml:space="preserve"> administrative </w:t>
      </w:r>
      <w:r w:rsidR="0075178A">
        <w:rPr>
          <w:rFonts w:ascii="Times New Roman" w:hAnsi="Times New Roman"/>
          <w:sz w:val="24"/>
          <w:szCs w:val="24"/>
        </w:rPr>
        <w:t xml:space="preserve">and public safety issues for local governments associated with the Commission’s tentative conclusions. First, there is the </w:t>
      </w:r>
      <w:r>
        <w:rPr>
          <w:rFonts w:ascii="Times New Roman" w:hAnsi="Times New Roman"/>
          <w:sz w:val="24"/>
          <w:szCs w:val="24"/>
        </w:rPr>
        <w:t>burden of renegotiating agreements between LFAs and cable franchisees to comply with these changes</w:t>
      </w:r>
      <w:r w:rsidR="00B64AF9">
        <w:rPr>
          <w:rFonts w:ascii="Times New Roman" w:hAnsi="Times New Roman"/>
          <w:sz w:val="24"/>
          <w:szCs w:val="24"/>
        </w:rPr>
        <w:t xml:space="preserve"> to consider</w:t>
      </w:r>
      <w:r w:rsidR="00890271">
        <w:rPr>
          <w:rFonts w:ascii="Times New Roman" w:hAnsi="Times New Roman"/>
          <w:sz w:val="24"/>
          <w:szCs w:val="24"/>
        </w:rPr>
        <w:t xml:space="preserve"> </w:t>
      </w:r>
      <w:r w:rsidR="00890271">
        <w:rPr>
          <w:rFonts w:ascii="Times New Roman" w:hAnsi="Times New Roman"/>
          <w:sz w:val="24"/>
          <w:szCs w:val="24"/>
        </w:rPr>
        <w:t>and absent a renegotiation the legal right to use the rights of way will fall into question</w:t>
      </w:r>
      <w:r>
        <w:rPr>
          <w:rFonts w:ascii="Times New Roman" w:hAnsi="Times New Roman"/>
          <w:sz w:val="24"/>
          <w:szCs w:val="24"/>
        </w:rPr>
        <w:t>.</w:t>
      </w:r>
      <w:r w:rsidR="00505E70">
        <w:rPr>
          <w:rFonts w:ascii="Times New Roman" w:hAnsi="Times New Roman"/>
          <w:sz w:val="24"/>
          <w:szCs w:val="24"/>
        </w:rPr>
        <w:t xml:space="preserve"> This type of renegotiation would require significant time and resources from local governments across the country</w:t>
      </w:r>
      <w:r w:rsidR="007A4213">
        <w:rPr>
          <w:rFonts w:ascii="Times New Roman" w:hAnsi="Times New Roman"/>
          <w:sz w:val="24"/>
          <w:szCs w:val="24"/>
        </w:rPr>
        <w:t xml:space="preserve"> with the potential to dissolve into costly legal battles</w:t>
      </w:r>
      <w:r w:rsidR="00505E70">
        <w:rPr>
          <w:rFonts w:ascii="Times New Roman" w:hAnsi="Times New Roman"/>
          <w:sz w:val="24"/>
          <w:szCs w:val="24"/>
        </w:rPr>
        <w:t xml:space="preserve">. Second, the tentative conclusions implicates </w:t>
      </w:r>
      <w:r w:rsidR="00B64AF9">
        <w:rPr>
          <w:rFonts w:ascii="Times New Roman" w:hAnsi="Times New Roman"/>
          <w:sz w:val="24"/>
          <w:szCs w:val="24"/>
        </w:rPr>
        <w:t xml:space="preserve">public safety. </w:t>
      </w:r>
      <w:r w:rsidR="00487ED7">
        <w:rPr>
          <w:rFonts w:ascii="Times New Roman" w:hAnsi="Times New Roman"/>
          <w:sz w:val="24"/>
          <w:szCs w:val="24"/>
        </w:rPr>
        <w:t xml:space="preserve">For many of our members, much of their public safety planning has been tied to these cable franchising agreements and the fate of those plans will have a great impact on public safety. </w:t>
      </w:r>
      <w:r w:rsidR="00B64AF9">
        <w:rPr>
          <w:rFonts w:ascii="Times New Roman" w:hAnsi="Times New Roman"/>
          <w:sz w:val="24"/>
          <w:szCs w:val="24"/>
        </w:rPr>
        <w:t xml:space="preserve">The question of who </w:t>
      </w:r>
      <w:r w:rsidR="00802D7E">
        <w:rPr>
          <w:rFonts w:ascii="Times New Roman" w:hAnsi="Times New Roman"/>
          <w:sz w:val="24"/>
          <w:szCs w:val="24"/>
        </w:rPr>
        <w:t>must</w:t>
      </w:r>
      <w:r w:rsidR="00B64AF9">
        <w:rPr>
          <w:rFonts w:ascii="Times New Roman" w:hAnsi="Times New Roman"/>
          <w:sz w:val="24"/>
          <w:szCs w:val="24"/>
        </w:rPr>
        <w:t xml:space="preserve"> pay for the equipment and net</w:t>
      </w:r>
      <w:bookmarkStart w:id="0" w:name="_GoBack"/>
      <w:bookmarkEnd w:id="0"/>
      <w:r w:rsidR="00B64AF9">
        <w:rPr>
          <w:rFonts w:ascii="Times New Roman" w:hAnsi="Times New Roman"/>
          <w:sz w:val="24"/>
          <w:szCs w:val="24"/>
        </w:rPr>
        <w:t>works</w:t>
      </w:r>
      <w:r w:rsidR="00353F06">
        <w:rPr>
          <w:rFonts w:ascii="Times New Roman" w:hAnsi="Times New Roman"/>
          <w:sz w:val="24"/>
          <w:szCs w:val="24"/>
        </w:rPr>
        <w:t xml:space="preserve"> involving public safety</w:t>
      </w:r>
      <w:r w:rsidR="00DF0465">
        <w:rPr>
          <w:rFonts w:ascii="Times New Roman" w:hAnsi="Times New Roman"/>
          <w:sz w:val="24"/>
          <w:szCs w:val="24"/>
        </w:rPr>
        <w:t>, where that money will come from, and</w:t>
      </w:r>
      <w:r w:rsidR="004E1AFD">
        <w:rPr>
          <w:rFonts w:ascii="Times New Roman" w:hAnsi="Times New Roman"/>
          <w:sz w:val="24"/>
          <w:szCs w:val="24"/>
        </w:rPr>
        <w:t xml:space="preserve"> </w:t>
      </w:r>
      <w:r w:rsidR="00DF0465">
        <w:rPr>
          <w:rFonts w:ascii="Times New Roman" w:hAnsi="Times New Roman"/>
          <w:sz w:val="24"/>
          <w:szCs w:val="24"/>
        </w:rPr>
        <w:t xml:space="preserve">what </w:t>
      </w:r>
      <w:r w:rsidR="004E1AFD">
        <w:rPr>
          <w:rFonts w:ascii="Times New Roman" w:hAnsi="Times New Roman"/>
          <w:sz w:val="24"/>
          <w:szCs w:val="24"/>
        </w:rPr>
        <w:t xml:space="preserve">the </w:t>
      </w:r>
      <w:r w:rsidR="00DF0465">
        <w:rPr>
          <w:rFonts w:ascii="Times New Roman" w:hAnsi="Times New Roman"/>
          <w:sz w:val="24"/>
          <w:szCs w:val="24"/>
        </w:rPr>
        <w:t xml:space="preserve">cost </w:t>
      </w:r>
      <w:r w:rsidR="004E1AFD">
        <w:rPr>
          <w:rFonts w:ascii="Times New Roman" w:hAnsi="Times New Roman"/>
          <w:sz w:val="24"/>
          <w:szCs w:val="24"/>
        </w:rPr>
        <w:t xml:space="preserve">will be </w:t>
      </w:r>
      <w:r w:rsidR="00B64AF9">
        <w:rPr>
          <w:rFonts w:ascii="Times New Roman" w:hAnsi="Times New Roman"/>
          <w:sz w:val="24"/>
          <w:szCs w:val="24"/>
        </w:rPr>
        <w:t>is not one that should be taken lightly</w:t>
      </w:r>
      <w:r w:rsidR="00F320C0">
        <w:rPr>
          <w:rFonts w:ascii="Times New Roman" w:hAnsi="Times New Roman"/>
          <w:sz w:val="24"/>
          <w:szCs w:val="24"/>
        </w:rPr>
        <w:t xml:space="preserve"> considering the potential consequences</w:t>
      </w:r>
      <w:r w:rsidR="00B64AF9">
        <w:rPr>
          <w:rFonts w:ascii="Times New Roman" w:hAnsi="Times New Roman"/>
          <w:sz w:val="24"/>
          <w:szCs w:val="24"/>
        </w:rPr>
        <w:t xml:space="preserve">. </w:t>
      </w:r>
    </w:p>
    <w:p w14:paraId="027BB857" w14:textId="137FFE4D" w:rsidR="00B043E5" w:rsidRDefault="00557F6F" w:rsidP="00DF0465">
      <w:pPr>
        <w:pStyle w:val="NoSpacing"/>
        <w:spacing w:line="480" w:lineRule="auto"/>
        <w:ind w:firstLine="720"/>
        <w:rPr>
          <w:rFonts w:ascii="Times New Roman" w:hAnsi="Times New Roman"/>
          <w:sz w:val="24"/>
          <w:szCs w:val="24"/>
        </w:rPr>
      </w:pPr>
      <w:r>
        <w:rPr>
          <w:rFonts w:ascii="Times New Roman" w:hAnsi="Times New Roman"/>
          <w:color w:val="000000" w:themeColor="text1"/>
          <w:sz w:val="24"/>
          <w:szCs w:val="24"/>
        </w:rPr>
        <w:t xml:space="preserve">IMLA is also </w:t>
      </w:r>
      <w:r w:rsidR="00C57874">
        <w:rPr>
          <w:rFonts w:ascii="Times New Roman" w:hAnsi="Times New Roman"/>
          <w:color w:val="000000" w:themeColor="text1"/>
          <w:sz w:val="24"/>
          <w:szCs w:val="24"/>
        </w:rPr>
        <w:t>concern</w:t>
      </w:r>
      <w:r>
        <w:rPr>
          <w:rFonts w:ascii="Times New Roman" w:hAnsi="Times New Roman"/>
          <w:color w:val="000000" w:themeColor="text1"/>
          <w:sz w:val="24"/>
          <w:szCs w:val="24"/>
        </w:rPr>
        <w:t xml:space="preserve">ed </w:t>
      </w:r>
      <w:r w:rsidR="00C57874">
        <w:rPr>
          <w:rFonts w:ascii="Times New Roman" w:hAnsi="Times New Roman"/>
          <w:color w:val="000000" w:themeColor="text1"/>
          <w:sz w:val="24"/>
          <w:szCs w:val="24"/>
        </w:rPr>
        <w:t>that the</w:t>
      </w:r>
      <w:r w:rsidR="000F5B5A" w:rsidRPr="00483004">
        <w:rPr>
          <w:rFonts w:ascii="Times New Roman" w:hAnsi="Times New Roman"/>
          <w:color w:val="000000" w:themeColor="text1"/>
          <w:sz w:val="24"/>
          <w:szCs w:val="24"/>
        </w:rPr>
        <w:t xml:space="preserve"> Commission </w:t>
      </w:r>
      <w:r w:rsidR="00470D3B" w:rsidRPr="00483004">
        <w:rPr>
          <w:rFonts w:ascii="Times New Roman" w:hAnsi="Times New Roman"/>
          <w:color w:val="000000" w:themeColor="text1"/>
          <w:sz w:val="24"/>
          <w:szCs w:val="24"/>
        </w:rPr>
        <w:t>may be upending settled law and complica</w:t>
      </w:r>
      <w:r w:rsidR="00242DAC">
        <w:rPr>
          <w:rFonts w:ascii="Times New Roman" w:hAnsi="Times New Roman"/>
          <w:color w:val="000000" w:themeColor="text1"/>
          <w:sz w:val="24"/>
          <w:szCs w:val="24"/>
        </w:rPr>
        <w:t>ting</w:t>
      </w:r>
      <w:r w:rsidR="00470D3B" w:rsidRPr="00483004">
        <w:rPr>
          <w:rFonts w:ascii="Times New Roman" w:hAnsi="Times New Roman"/>
          <w:color w:val="000000" w:themeColor="text1"/>
          <w:sz w:val="24"/>
          <w:szCs w:val="24"/>
        </w:rPr>
        <w:t xml:space="preserve"> the</w:t>
      </w:r>
      <w:r w:rsidR="006B3456">
        <w:rPr>
          <w:rFonts w:ascii="Times New Roman" w:hAnsi="Times New Roman"/>
          <w:color w:val="000000" w:themeColor="text1"/>
          <w:sz w:val="24"/>
          <w:szCs w:val="24"/>
        </w:rPr>
        <w:t xml:space="preserve"> existing</w:t>
      </w:r>
      <w:r w:rsidR="00470D3B" w:rsidRPr="00483004">
        <w:rPr>
          <w:rFonts w:ascii="Times New Roman" w:hAnsi="Times New Roman"/>
          <w:color w:val="000000" w:themeColor="text1"/>
          <w:sz w:val="24"/>
          <w:szCs w:val="24"/>
        </w:rPr>
        <w:t xml:space="preserve"> legal landscape due to the </w:t>
      </w:r>
      <w:r w:rsidR="006B3456">
        <w:rPr>
          <w:rFonts w:ascii="Times New Roman" w:hAnsi="Times New Roman"/>
          <w:color w:val="000000" w:themeColor="text1"/>
          <w:sz w:val="24"/>
          <w:szCs w:val="24"/>
        </w:rPr>
        <w:t xml:space="preserve">interaction between the Commission’s </w:t>
      </w:r>
      <w:r w:rsidR="00470D3B" w:rsidRPr="00483004">
        <w:rPr>
          <w:rFonts w:ascii="Times New Roman" w:hAnsi="Times New Roman"/>
          <w:color w:val="000000" w:themeColor="text1"/>
          <w:sz w:val="24"/>
          <w:szCs w:val="24"/>
        </w:rPr>
        <w:t xml:space="preserve">potential </w:t>
      </w:r>
      <w:r w:rsidR="00483004" w:rsidRPr="00483004">
        <w:rPr>
          <w:rFonts w:ascii="Times New Roman" w:hAnsi="Times New Roman"/>
          <w:color w:val="000000" w:themeColor="text1"/>
          <w:sz w:val="24"/>
          <w:szCs w:val="24"/>
        </w:rPr>
        <w:t xml:space="preserve">rules </w:t>
      </w:r>
      <w:r w:rsidR="006B3456">
        <w:rPr>
          <w:rFonts w:ascii="Times New Roman" w:hAnsi="Times New Roman"/>
          <w:color w:val="000000" w:themeColor="text1"/>
          <w:sz w:val="24"/>
          <w:szCs w:val="24"/>
        </w:rPr>
        <w:t xml:space="preserve">(tentative conclusions) </w:t>
      </w:r>
      <w:r w:rsidR="00483004" w:rsidRPr="00483004">
        <w:rPr>
          <w:rFonts w:ascii="Times New Roman" w:hAnsi="Times New Roman"/>
          <w:color w:val="000000" w:themeColor="text1"/>
          <w:sz w:val="24"/>
          <w:szCs w:val="24"/>
        </w:rPr>
        <w:t>with existing state law</w:t>
      </w:r>
      <w:r w:rsidR="006B3456">
        <w:rPr>
          <w:rFonts w:ascii="Times New Roman" w:hAnsi="Times New Roman"/>
          <w:color w:val="000000" w:themeColor="text1"/>
          <w:sz w:val="24"/>
          <w:szCs w:val="24"/>
        </w:rPr>
        <w:t>s</w:t>
      </w:r>
      <w:r w:rsidR="00483004" w:rsidRPr="00483004">
        <w:rPr>
          <w:rFonts w:ascii="Times New Roman" w:hAnsi="Times New Roman"/>
          <w:color w:val="000000" w:themeColor="text1"/>
          <w:sz w:val="24"/>
          <w:szCs w:val="24"/>
        </w:rPr>
        <w:t>, state regulatory frameworks, and even state constitutional mandates</w:t>
      </w:r>
      <w:r w:rsidR="00B20B8F">
        <w:rPr>
          <w:rFonts w:ascii="Times New Roman" w:hAnsi="Times New Roman"/>
          <w:color w:val="000000" w:themeColor="text1"/>
          <w:sz w:val="24"/>
          <w:szCs w:val="24"/>
        </w:rPr>
        <w:t xml:space="preserve"> as noted by other commenters</w:t>
      </w:r>
      <w:r w:rsidR="00483004" w:rsidRPr="00483004">
        <w:rPr>
          <w:rFonts w:ascii="Times New Roman" w:hAnsi="Times New Roman"/>
          <w:color w:val="000000" w:themeColor="text1"/>
          <w:sz w:val="24"/>
          <w:szCs w:val="24"/>
        </w:rPr>
        <w:t>.</w:t>
      </w:r>
      <w:r w:rsidR="006B3456">
        <w:rPr>
          <w:rStyle w:val="FootnoteReference"/>
          <w:rFonts w:ascii="Times New Roman" w:hAnsi="Times New Roman"/>
          <w:color w:val="000000" w:themeColor="text1"/>
          <w:sz w:val="24"/>
          <w:szCs w:val="24"/>
        </w:rPr>
        <w:footnoteReference w:id="8"/>
      </w:r>
      <w:r w:rsidR="00DF0465">
        <w:rPr>
          <w:rFonts w:ascii="Times New Roman" w:hAnsi="Times New Roman"/>
          <w:sz w:val="24"/>
          <w:szCs w:val="24"/>
        </w:rPr>
        <w:t xml:space="preserve"> </w:t>
      </w:r>
    </w:p>
    <w:p w14:paraId="5F5B953B" w14:textId="5C90B28A" w:rsidR="00B043E5" w:rsidRDefault="00FD6C8D" w:rsidP="00DF0465">
      <w:pPr>
        <w:pStyle w:val="NoSpacing"/>
        <w:spacing w:line="480" w:lineRule="auto"/>
        <w:ind w:firstLine="720"/>
        <w:rPr>
          <w:rFonts w:ascii="Times New Roman" w:hAnsi="Times New Roman"/>
          <w:sz w:val="24"/>
          <w:szCs w:val="24"/>
        </w:rPr>
      </w:pPr>
      <w:r>
        <w:rPr>
          <w:rFonts w:ascii="Times New Roman" w:hAnsi="Times New Roman"/>
          <w:sz w:val="24"/>
          <w:szCs w:val="24"/>
        </w:rPr>
        <w:t xml:space="preserve">In the face of </w:t>
      </w:r>
      <w:r w:rsidR="007E5454">
        <w:rPr>
          <w:rFonts w:ascii="Times New Roman" w:hAnsi="Times New Roman"/>
          <w:sz w:val="24"/>
          <w:szCs w:val="24"/>
        </w:rPr>
        <w:t>these considerations</w:t>
      </w:r>
      <w:r>
        <w:rPr>
          <w:rFonts w:ascii="Times New Roman" w:hAnsi="Times New Roman"/>
          <w:sz w:val="24"/>
          <w:szCs w:val="24"/>
        </w:rPr>
        <w:t>, it is unwise to revise the cable rules in such a significant way without also releasing guidance for LFAs on what is and is not allowed</w:t>
      </w:r>
      <w:r w:rsidR="007E5454">
        <w:rPr>
          <w:rFonts w:ascii="Times New Roman" w:hAnsi="Times New Roman"/>
          <w:sz w:val="24"/>
          <w:szCs w:val="24"/>
        </w:rPr>
        <w:t xml:space="preserve"> before enacting such rules. Guidance will allow </w:t>
      </w:r>
      <w:r w:rsidR="007609F9">
        <w:rPr>
          <w:rFonts w:ascii="Times New Roman" w:hAnsi="Times New Roman"/>
          <w:sz w:val="24"/>
          <w:szCs w:val="24"/>
        </w:rPr>
        <w:t>local governments and other similarly situated commenters</w:t>
      </w:r>
      <w:r w:rsidR="007E5454">
        <w:rPr>
          <w:rFonts w:ascii="Times New Roman" w:hAnsi="Times New Roman"/>
          <w:sz w:val="24"/>
          <w:szCs w:val="24"/>
        </w:rPr>
        <w:t xml:space="preserve"> to have a true understanding of the legal landscape should the Commission act in the manner discussed in the FNPRM.</w:t>
      </w:r>
      <w:r w:rsidR="00B043E5">
        <w:rPr>
          <w:rFonts w:ascii="Times New Roman" w:hAnsi="Times New Roman"/>
          <w:sz w:val="24"/>
          <w:szCs w:val="24"/>
        </w:rPr>
        <w:t xml:space="preserve"> </w:t>
      </w:r>
    </w:p>
    <w:p w14:paraId="5778D80B" w14:textId="0BBEE43C" w:rsidR="00B043E5" w:rsidRDefault="00B043E5" w:rsidP="00B043E5">
      <w:pPr>
        <w:pStyle w:val="NoSpacing"/>
        <w:spacing w:line="480" w:lineRule="auto"/>
        <w:ind w:firstLine="720"/>
        <w:rPr>
          <w:rFonts w:ascii="Times New Roman" w:hAnsi="Times New Roman"/>
          <w:sz w:val="24"/>
          <w:szCs w:val="24"/>
        </w:rPr>
      </w:pPr>
      <w:r w:rsidRPr="00275894">
        <w:rPr>
          <w:rFonts w:ascii="Times New Roman" w:hAnsi="Times New Roman"/>
          <w:sz w:val="24"/>
          <w:szCs w:val="24"/>
        </w:rPr>
        <w:lastRenderedPageBreak/>
        <w:t xml:space="preserve">Finally, we echo the concerns of the Georgia Municipal Association that the FNPRM seems to address an imbalance created by the Commission </w:t>
      </w:r>
      <w:r w:rsidR="00AD0DAB">
        <w:rPr>
          <w:rFonts w:ascii="Times New Roman" w:hAnsi="Times New Roman"/>
          <w:sz w:val="24"/>
          <w:szCs w:val="24"/>
        </w:rPr>
        <w:t>in</w:t>
      </w:r>
      <w:r w:rsidRPr="00275894">
        <w:rPr>
          <w:rFonts w:ascii="Times New Roman" w:hAnsi="Times New Roman"/>
          <w:sz w:val="24"/>
          <w:szCs w:val="24"/>
        </w:rPr>
        <w:t xml:space="preserve"> the Third Report and Order </w:t>
      </w:r>
      <w:r w:rsidR="00AD0DAB">
        <w:rPr>
          <w:rFonts w:ascii="Times New Roman" w:hAnsi="Times New Roman"/>
          <w:sz w:val="24"/>
          <w:szCs w:val="24"/>
        </w:rPr>
        <w:t xml:space="preserve">of the </w:t>
      </w:r>
      <w:r w:rsidRPr="00275894">
        <w:rPr>
          <w:rFonts w:ascii="Times New Roman" w:hAnsi="Times New Roman"/>
          <w:sz w:val="24"/>
          <w:szCs w:val="24"/>
        </w:rPr>
        <w:t>Accelerating Wireless Broadband Deployment proceeding, which seems to have placed cable operators at a disadvantage.</w:t>
      </w:r>
      <w:r w:rsidR="00AD0DAB">
        <w:rPr>
          <w:rStyle w:val="FootnoteReference"/>
          <w:rFonts w:ascii="Times New Roman" w:hAnsi="Times New Roman"/>
          <w:sz w:val="24"/>
          <w:szCs w:val="24"/>
        </w:rPr>
        <w:footnoteReference w:id="9"/>
      </w:r>
      <w:r w:rsidRPr="00275894">
        <w:rPr>
          <w:rFonts w:ascii="Times New Roman" w:hAnsi="Times New Roman"/>
          <w:sz w:val="24"/>
          <w:szCs w:val="24"/>
        </w:rPr>
        <w:t xml:space="preserve"> On this note, we would like to add our observation that, like in the Accelerating Wireless Broadband Deployment proceeding, when local governments require a relatively small fee from private operators for use of the public right-of-way the Commission has restricted collection of such fees to cost of maintenance, however when private operators seek to charge local governments for use of </w:t>
      </w:r>
      <w:r w:rsidR="007A0767">
        <w:rPr>
          <w:rFonts w:ascii="Times New Roman" w:hAnsi="Times New Roman"/>
          <w:sz w:val="24"/>
          <w:szCs w:val="24"/>
        </w:rPr>
        <w:t xml:space="preserve">negotiated </w:t>
      </w:r>
      <w:r w:rsidR="00AD0DAB">
        <w:rPr>
          <w:rFonts w:ascii="Times New Roman" w:hAnsi="Times New Roman"/>
          <w:sz w:val="24"/>
          <w:szCs w:val="24"/>
        </w:rPr>
        <w:t xml:space="preserve">in-kind </w:t>
      </w:r>
      <w:r w:rsidR="007A0767">
        <w:rPr>
          <w:rFonts w:ascii="Times New Roman" w:hAnsi="Times New Roman"/>
          <w:sz w:val="24"/>
          <w:szCs w:val="24"/>
        </w:rPr>
        <w:t>exactions</w:t>
      </w:r>
      <w:r w:rsidRPr="00275894">
        <w:rPr>
          <w:rFonts w:ascii="Times New Roman" w:hAnsi="Times New Roman"/>
          <w:sz w:val="24"/>
          <w:szCs w:val="24"/>
        </w:rPr>
        <w:t xml:space="preserve">, the Commission seeks to allow private operators to exact fair market value from local governments. We find it unsettling that a federal agency </w:t>
      </w:r>
      <w:r w:rsidR="002B5D48">
        <w:rPr>
          <w:rFonts w:ascii="Times New Roman" w:hAnsi="Times New Roman"/>
          <w:sz w:val="24"/>
          <w:szCs w:val="24"/>
        </w:rPr>
        <w:t>would establish an imbalance so clearly designed to harm taxpayers</w:t>
      </w:r>
      <w:r w:rsidR="005041E6">
        <w:rPr>
          <w:rFonts w:ascii="Times New Roman" w:hAnsi="Times New Roman"/>
          <w:sz w:val="24"/>
          <w:szCs w:val="24"/>
        </w:rPr>
        <w:t xml:space="preserve"> and local communities</w:t>
      </w:r>
      <w:r w:rsidRPr="00275894">
        <w:rPr>
          <w:rFonts w:ascii="Times New Roman" w:hAnsi="Times New Roman"/>
          <w:sz w:val="24"/>
          <w:szCs w:val="24"/>
        </w:rPr>
        <w:t>.</w:t>
      </w:r>
      <w:r>
        <w:rPr>
          <w:rFonts w:ascii="Times New Roman" w:hAnsi="Times New Roman"/>
          <w:sz w:val="24"/>
          <w:szCs w:val="24"/>
        </w:rPr>
        <w:t xml:space="preserve"> </w:t>
      </w:r>
    </w:p>
    <w:p w14:paraId="52050625" w14:textId="77777777" w:rsidR="00EA0E33" w:rsidRPr="003462C0" w:rsidRDefault="00EA0E33" w:rsidP="005B7A0C">
      <w:pPr>
        <w:pStyle w:val="NoSpacing"/>
        <w:numPr>
          <w:ilvl w:val="0"/>
          <w:numId w:val="5"/>
        </w:numPr>
        <w:spacing w:line="480" w:lineRule="auto"/>
        <w:rPr>
          <w:rFonts w:ascii="Times New Roman" w:hAnsi="Times New Roman" w:cs="Times New Roman (Body CS)"/>
          <w:smallCaps/>
          <w:sz w:val="24"/>
          <w:szCs w:val="24"/>
        </w:rPr>
      </w:pPr>
      <w:r w:rsidRPr="003462C0">
        <w:rPr>
          <w:rFonts w:ascii="Times New Roman" w:hAnsi="Times New Roman" w:cs="Times New Roman (Body CS)"/>
          <w:smallCaps/>
          <w:sz w:val="24"/>
          <w:szCs w:val="24"/>
        </w:rPr>
        <w:t>Conclusion</w:t>
      </w:r>
    </w:p>
    <w:p w14:paraId="15371983" w14:textId="12B2BC4E" w:rsidR="00EA0E33" w:rsidRDefault="00EA0E33" w:rsidP="00BF1F36">
      <w:pPr>
        <w:pStyle w:val="NoSpacing"/>
        <w:spacing w:line="480" w:lineRule="auto"/>
        <w:ind w:firstLine="720"/>
        <w:rPr>
          <w:rFonts w:ascii="Times New Roman" w:hAnsi="Times New Roman"/>
          <w:sz w:val="24"/>
          <w:szCs w:val="24"/>
        </w:rPr>
      </w:pPr>
      <w:r>
        <w:rPr>
          <w:rFonts w:ascii="Times New Roman" w:hAnsi="Times New Roman"/>
          <w:sz w:val="24"/>
          <w:szCs w:val="24"/>
        </w:rPr>
        <w:t xml:space="preserve">On behalf of our members, </w:t>
      </w:r>
      <w:r w:rsidR="00D61EE5">
        <w:rPr>
          <w:rFonts w:ascii="Times New Roman" w:hAnsi="Times New Roman"/>
          <w:sz w:val="24"/>
          <w:szCs w:val="24"/>
        </w:rPr>
        <w:t>IMLA strongly</w:t>
      </w:r>
      <w:r>
        <w:rPr>
          <w:rFonts w:ascii="Times New Roman" w:hAnsi="Times New Roman"/>
          <w:sz w:val="24"/>
          <w:szCs w:val="24"/>
        </w:rPr>
        <w:t xml:space="preserve"> disagrees with the Commission’s tentative conclusion</w:t>
      </w:r>
      <w:r w:rsidR="00C525C0">
        <w:rPr>
          <w:rFonts w:ascii="Times New Roman" w:hAnsi="Times New Roman"/>
          <w:sz w:val="24"/>
          <w:szCs w:val="24"/>
        </w:rPr>
        <w:t>s relating to the treatment of cable-related in-kind contributions as franchise fees</w:t>
      </w:r>
      <w:r>
        <w:rPr>
          <w:rFonts w:ascii="Times New Roman" w:hAnsi="Times New Roman"/>
          <w:sz w:val="24"/>
          <w:szCs w:val="24"/>
        </w:rPr>
        <w:t>.</w:t>
      </w:r>
      <w:r w:rsidR="00EE1DCE" w:rsidRPr="00EE1DCE">
        <w:rPr>
          <w:rFonts w:ascii="Times New Roman" w:hAnsi="Times New Roman"/>
          <w:sz w:val="24"/>
          <w:szCs w:val="24"/>
        </w:rPr>
        <w:t xml:space="preserve"> </w:t>
      </w:r>
      <w:r w:rsidR="00D61EE5" w:rsidRPr="00EE1DCE">
        <w:rPr>
          <w:rFonts w:ascii="Times New Roman" w:hAnsi="Times New Roman"/>
          <w:sz w:val="24"/>
          <w:szCs w:val="24"/>
        </w:rPr>
        <w:t xml:space="preserve">IMLA endorses </w:t>
      </w:r>
      <w:r w:rsidRPr="00EE1DCE">
        <w:rPr>
          <w:rFonts w:ascii="Times New Roman" w:hAnsi="Times New Roman"/>
          <w:sz w:val="24"/>
          <w:szCs w:val="24"/>
        </w:rPr>
        <w:t>the comments</w:t>
      </w:r>
      <w:r w:rsidR="00D61EE5" w:rsidRPr="00EE1DCE">
        <w:rPr>
          <w:rFonts w:ascii="Times New Roman" w:hAnsi="Times New Roman"/>
          <w:sz w:val="24"/>
          <w:szCs w:val="24"/>
        </w:rPr>
        <w:t xml:space="preserve"> of the municipalities who have commented in this proceeding.</w:t>
      </w:r>
    </w:p>
    <w:p w14:paraId="3FB67941" w14:textId="6A94B8FB" w:rsidR="004B2978" w:rsidRDefault="009D7353" w:rsidP="009D7353">
      <w:pPr>
        <w:pStyle w:val="NoSpacing"/>
        <w:rPr>
          <w:rFonts w:ascii="Times New Roman" w:hAnsi="Times New Roman"/>
          <w:sz w:val="24"/>
          <w:szCs w:val="24"/>
        </w:rPr>
      </w:pPr>
      <w:r>
        <w:rPr>
          <w:rFonts w:ascii="Times New Roman" w:hAnsi="Times New Roman"/>
          <w:sz w:val="24"/>
          <w:szCs w:val="24"/>
        </w:rPr>
        <w:t>Respectfully submitted,</w:t>
      </w:r>
    </w:p>
    <w:p w14:paraId="565679B8" w14:textId="77777777" w:rsidR="004B2978" w:rsidRDefault="004B2978" w:rsidP="009D7353">
      <w:pPr>
        <w:pStyle w:val="NoSpacing"/>
        <w:rPr>
          <w:rFonts w:ascii="Times New Roman" w:hAnsi="Times New Roman"/>
          <w:sz w:val="24"/>
          <w:szCs w:val="24"/>
        </w:rPr>
      </w:pPr>
    </w:p>
    <w:p w14:paraId="4E887025" w14:textId="77777777" w:rsidR="004B2978" w:rsidRDefault="004B2978" w:rsidP="004B2978">
      <w:pPr>
        <w:pStyle w:val="NoSpacing"/>
        <w:rPr>
          <w:rFonts w:ascii="Times New Roman" w:hAnsi="Times New Roman"/>
          <w:sz w:val="24"/>
          <w:szCs w:val="24"/>
        </w:rPr>
        <w:sectPr w:rsidR="004B2978">
          <w:footerReference w:type="default" r:id="rId8"/>
          <w:pgSz w:w="12240" w:h="15840"/>
          <w:pgMar w:top="1440" w:right="1440" w:bottom="1440" w:left="1440" w:header="720" w:footer="720" w:gutter="0"/>
          <w:cols w:space="720"/>
          <w:docGrid w:linePitch="360"/>
        </w:sectPr>
      </w:pPr>
    </w:p>
    <w:p w14:paraId="63430F49" w14:textId="64420BFA" w:rsidR="004B2978" w:rsidRDefault="004B2978" w:rsidP="00260800">
      <w:pPr>
        <w:pStyle w:val="NoSpacing"/>
        <w:ind w:right="270"/>
        <w:rPr>
          <w:rFonts w:ascii="Times New Roman" w:hAnsi="Times New Roman"/>
          <w:sz w:val="24"/>
          <w:szCs w:val="24"/>
        </w:rPr>
      </w:pPr>
      <w:r>
        <w:rPr>
          <w:rFonts w:ascii="Times New Roman" w:hAnsi="Times New Roman"/>
          <w:sz w:val="24"/>
          <w:szCs w:val="24"/>
        </w:rPr>
        <w:t>Ch</w:t>
      </w:r>
      <w:r w:rsidR="006C2D4A">
        <w:rPr>
          <w:rFonts w:ascii="Times New Roman" w:hAnsi="Times New Roman"/>
          <w:sz w:val="24"/>
          <w:szCs w:val="24"/>
        </w:rPr>
        <w:t xml:space="preserve">arles W. </w:t>
      </w:r>
      <w:r>
        <w:rPr>
          <w:rFonts w:ascii="Times New Roman" w:hAnsi="Times New Roman"/>
          <w:sz w:val="24"/>
          <w:szCs w:val="24"/>
        </w:rPr>
        <w:t>Thompson</w:t>
      </w:r>
    </w:p>
    <w:p w14:paraId="1EAE472D" w14:textId="77777777" w:rsidR="004B2978" w:rsidRDefault="004B2978" w:rsidP="00260800">
      <w:pPr>
        <w:pStyle w:val="NoSpacing"/>
        <w:ind w:right="270"/>
        <w:rPr>
          <w:rFonts w:ascii="Times New Roman" w:hAnsi="Times New Roman"/>
          <w:sz w:val="24"/>
          <w:szCs w:val="24"/>
        </w:rPr>
      </w:pPr>
      <w:r>
        <w:rPr>
          <w:rFonts w:ascii="Times New Roman" w:hAnsi="Times New Roman"/>
          <w:sz w:val="24"/>
          <w:szCs w:val="24"/>
        </w:rPr>
        <w:t>General Counsel and Executive Director</w:t>
      </w:r>
    </w:p>
    <w:p w14:paraId="1EED5328" w14:textId="77777777" w:rsidR="004B2978" w:rsidRDefault="004B2978" w:rsidP="00260800">
      <w:pPr>
        <w:pStyle w:val="NoSpacing"/>
        <w:ind w:right="270"/>
        <w:rPr>
          <w:rFonts w:ascii="Times New Roman" w:hAnsi="Times New Roman"/>
          <w:sz w:val="24"/>
          <w:szCs w:val="24"/>
        </w:rPr>
      </w:pPr>
    </w:p>
    <w:p w14:paraId="119BD5CA" w14:textId="6789B8BE" w:rsidR="004B2978" w:rsidRDefault="004B2978" w:rsidP="00260800">
      <w:pPr>
        <w:pStyle w:val="NoSpacing"/>
        <w:ind w:right="270"/>
        <w:rPr>
          <w:rFonts w:ascii="Times New Roman" w:hAnsi="Times New Roman"/>
          <w:sz w:val="24"/>
          <w:szCs w:val="24"/>
        </w:rPr>
      </w:pPr>
      <w:r>
        <w:rPr>
          <w:rFonts w:ascii="Times New Roman" w:hAnsi="Times New Roman"/>
          <w:sz w:val="24"/>
          <w:szCs w:val="24"/>
        </w:rPr>
        <w:t>International Municipal Lawyers Association</w:t>
      </w:r>
      <w:r w:rsidR="006C2D4A">
        <w:rPr>
          <w:rFonts w:ascii="Times New Roman" w:hAnsi="Times New Roman"/>
          <w:sz w:val="24"/>
          <w:szCs w:val="24"/>
        </w:rPr>
        <w:t>, Inc.</w:t>
      </w:r>
    </w:p>
    <w:p w14:paraId="226558F6" w14:textId="77777777" w:rsidR="004B2978" w:rsidRDefault="004B2978" w:rsidP="00260800">
      <w:pPr>
        <w:pStyle w:val="NoSpacing"/>
        <w:ind w:right="270"/>
        <w:rPr>
          <w:rFonts w:ascii="Times New Roman" w:hAnsi="Times New Roman"/>
          <w:sz w:val="24"/>
          <w:szCs w:val="24"/>
        </w:rPr>
      </w:pPr>
      <w:r>
        <w:rPr>
          <w:rFonts w:ascii="Times New Roman" w:hAnsi="Times New Roman"/>
          <w:sz w:val="24"/>
          <w:szCs w:val="24"/>
        </w:rPr>
        <w:t>51 Monroe Street, Suite 404</w:t>
      </w:r>
    </w:p>
    <w:p w14:paraId="2512A026" w14:textId="77777777" w:rsidR="004B2978" w:rsidRDefault="004B2978" w:rsidP="00260800">
      <w:pPr>
        <w:pStyle w:val="NoSpacing"/>
        <w:ind w:right="270"/>
        <w:rPr>
          <w:rFonts w:ascii="Times New Roman" w:hAnsi="Times New Roman"/>
          <w:sz w:val="24"/>
          <w:szCs w:val="24"/>
        </w:rPr>
      </w:pPr>
      <w:r>
        <w:rPr>
          <w:rFonts w:ascii="Times New Roman" w:hAnsi="Times New Roman"/>
          <w:sz w:val="24"/>
          <w:szCs w:val="24"/>
        </w:rPr>
        <w:t>Rockville, MD 20850</w:t>
      </w:r>
    </w:p>
    <w:p w14:paraId="56968FEB" w14:textId="77777777" w:rsidR="009D7353" w:rsidRDefault="007E1B5F" w:rsidP="00260800">
      <w:pPr>
        <w:pStyle w:val="NoSpacing"/>
        <w:ind w:right="270"/>
        <w:rPr>
          <w:rFonts w:ascii="Times New Roman" w:hAnsi="Times New Roman"/>
          <w:sz w:val="24"/>
          <w:szCs w:val="24"/>
        </w:rPr>
      </w:pPr>
      <w:r w:rsidRPr="007E1B5F">
        <w:rPr>
          <w:rFonts w:ascii="Times New Roman" w:hAnsi="Times New Roman"/>
          <w:sz w:val="24"/>
          <w:szCs w:val="24"/>
        </w:rPr>
        <w:t>c</w:t>
      </w:r>
      <w:r>
        <w:rPr>
          <w:rFonts w:ascii="Times New Roman" w:hAnsi="Times New Roman"/>
          <w:sz w:val="24"/>
          <w:szCs w:val="24"/>
        </w:rPr>
        <w:t>thompson@imla.org</w:t>
      </w:r>
    </w:p>
    <w:p w14:paraId="371DF0FC" w14:textId="77777777" w:rsidR="00BF1F36" w:rsidRDefault="00260800" w:rsidP="003462C0">
      <w:pPr>
        <w:pStyle w:val="NoSpacing"/>
        <w:ind w:right="270"/>
        <w:rPr>
          <w:rFonts w:ascii="Times New Roman" w:hAnsi="Times New Roman"/>
          <w:sz w:val="24"/>
          <w:szCs w:val="24"/>
        </w:rPr>
      </w:pPr>
      <w:r>
        <w:rPr>
          <w:rFonts w:ascii="Times New Roman" w:hAnsi="Times New Roman"/>
          <w:sz w:val="24"/>
          <w:szCs w:val="24"/>
        </w:rPr>
        <w:t>(202) 466-5424</w:t>
      </w:r>
    </w:p>
    <w:p w14:paraId="78DB6BDF" w14:textId="77777777" w:rsidR="00226B8C" w:rsidRDefault="00226B8C" w:rsidP="003462C0">
      <w:pPr>
        <w:pStyle w:val="NoSpacing"/>
        <w:ind w:right="270"/>
        <w:rPr>
          <w:rFonts w:ascii="Times New Roman" w:hAnsi="Times New Roman"/>
          <w:sz w:val="24"/>
          <w:szCs w:val="24"/>
        </w:rPr>
      </w:pPr>
    </w:p>
    <w:p w14:paraId="1845151F" w14:textId="3DE770A0" w:rsidR="004B2978" w:rsidRDefault="004B2978" w:rsidP="003462C0">
      <w:pPr>
        <w:pStyle w:val="NoSpacing"/>
        <w:ind w:right="270"/>
        <w:rPr>
          <w:rFonts w:ascii="Times New Roman" w:hAnsi="Times New Roman"/>
          <w:sz w:val="24"/>
          <w:szCs w:val="24"/>
        </w:rPr>
      </w:pPr>
      <w:r>
        <w:rPr>
          <w:rFonts w:ascii="Times New Roman" w:hAnsi="Times New Roman"/>
          <w:sz w:val="24"/>
          <w:szCs w:val="24"/>
        </w:rPr>
        <w:t>Negheen H. Sanjar</w:t>
      </w:r>
    </w:p>
    <w:p w14:paraId="2D47F5FE" w14:textId="77777777" w:rsidR="004B2978" w:rsidRDefault="004B2978" w:rsidP="00BF1F36">
      <w:pPr>
        <w:pStyle w:val="NoSpacing"/>
        <w:rPr>
          <w:rFonts w:ascii="Times New Roman" w:hAnsi="Times New Roman"/>
          <w:sz w:val="24"/>
          <w:szCs w:val="24"/>
        </w:rPr>
      </w:pPr>
      <w:r>
        <w:rPr>
          <w:rFonts w:ascii="Times New Roman" w:hAnsi="Times New Roman"/>
          <w:sz w:val="24"/>
          <w:szCs w:val="24"/>
        </w:rPr>
        <w:t>Associate Counsel</w:t>
      </w:r>
    </w:p>
    <w:p w14:paraId="3CB4DFCC" w14:textId="77777777" w:rsidR="004B2978" w:rsidRDefault="004B2978" w:rsidP="009A2DA1">
      <w:pPr>
        <w:pStyle w:val="NoSpacing"/>
        <w:ind w:left="180"/>
        <w:rPr>
          <w:rFonts w:ascii="Times New Roman" w:hAnsi="Times New Roman"/>
          <w:sz w:val="24"/>
          <w:szCs w:val="24"/>
        </w:rPr>
      </w:pPr>
    </w:p>
    <w:p w14:paraId="01FA7CBD" w14:textId="748534E3" w:rsidR="004B2978" w:rsidRDefault="004B2978" w:rsidP="00BF1F36">
      <w:pPr>
        <w:pStyle w:val="NoSpacing"/>
        <w:rPr>
          <w:rFonts w:ascii="Times New Roman" w:hAnsi="Times New Roman"/>
          <w:sz w:val="24"/>
          <w:szCs w:val="24"/>
        </w:rPr>
      </w:pPr>
      <w:r>
        <w:rPr>
          <w:rFonts w:ascii="Times New Roman" w:hAnsi="Times New Roman"/>
          <w:sz w:val="24"/>
          <w:szCs w:val="24"/>
        </w:rPr>
        <w:t>International Municipal Lawyers Association</w:t>
      </w:r>
      <w:r w:rsidR="006C2D4A">
        <w:rPr>
          <w:rFonts w:ascii="Times New Roman" w:hAnsi="Times New Roman"/>
          <w:sz w:val="24"/>
          <w:szCs w:val="24"/>
        </w:rPr>
        <w:t>, Inc.</w:t>
      </w:r>
    </w:p>
    <w:p w14:paraId="01901A28" w14:textId="77777777" w:rsidR="004B2978" w:rsidRDefault="004B2978" w:rsidP="00BF1F36">
      <w:pPr>
        <w:pStyle w:val="NoSpacing"/>
        <w:rPr>
          <w:rFonts w:ascii="Times New Roman" w:hAnsi="Times New Roman"/>
          <w:sz w:val="24"/>
          <w:szCs w:val="24"/>
        </w:rPr>
      </w:pPr>
      <w:r>
        <w:rPr>
          <w:rFonts w:ascii="Times New Roman" w:hAnsi="Times New Roman"/>
          <w:sz w:val="24"/>
          <w:szCs w:val="24"/>
        </w:rPr>
        <w:t>51 Monroe Street, Suite 404</w:t>
      </w:r>
    </w:p>
    <w:p w14:paraId="10482C8E" w14:textId="77777777" w:rsidR="004B2978" w:rsidRDefault="004B2978" w:rsidP="00BF1F36">
      <w:pPr>
        <w:pStyle w:val="NoSpacing"/>
        <w:rPr>
          <w:rFonts w:ascii="Times New Roman" w:hAnsi="Times New Roman"/>
          <w:sz w:val="24"/>
          <w:szCs w:val="24"/>
        </w:rPr>
      </w:pPr>
      <w:r>
        <w:rPr>
          <w:rFonts w:ascii="Times New Roman" w:hAnsi="Times New Roman"/>
          <w:sz w:val="24"/>
          <w:szCs w:val="24"/>
        </w:rPr>
        <w:t>Rockville, MD 20850</w:t>
      </w:r>
    </w:p>
    <w:p w14:paraId="3BE1FAA7" w14:textId="77777777" w:rsidR="004B2978" w:rsidRDefault="004B2978" w:rsidP="00BF1F36">
      <w:pPr>
        <w:pStyle w:val="NoSpacing"/>
        <w:rPr>
          <w:rFonts w:ascii="Times New Roman" w:hAnsi="Times New Roman"/>
          <w:sz w:val="24"/>
          <w:szCs w:val="24"/>
        </w:rPr>
      </w:pPr>
      <w:r>
        <w:rPr>
          <w:rFonts w:ascii="Times New Roman" w:hAnsi="Times New Roman"/>
          <w:sz w:val="24"/>
          <w:szCs w:val="24"/>
        </w:rPr>
        <w:t>nsanjar@imla.org</w:t>
      </w:r>
    </w:p>
    <w:p w14:paraId="4D2ED1A5" w14:textId="7A5BAEF8" w:rsidR="00226B8C" w:rsidRDefault="00260800" w:rsidP="00226B8C">
      <w:pPr>
        <w:pStyle w:val="NoSpacing"/>
        <w:rPr>
          <w:rFonts w:ascii="Times New Roman" w:hAnsi="Times New Roman"/>
          <w:sz w:val="24"/>
          <w:szCs w:val="24"/>
        </w:rPr>
        <w:sectPr w:rsidR="00226B8C" w:rsidSect="004B2978">
          <w:type w:val="continuous"/>
          <w:pgSz w:w="12240" w:h="15840"/>
          <w:pgMar w:top="1440" w:right="1440" w:bottom="1440" w:left="1440" w:header="720" w:footer="720" w:gutter="0"/>
          <w:cols w:num="2" w:space="720"/>
          <w:docGrid w:linePitch="360"/>
        </w:sectPr>
      </w:pPr>
      <w:r>
        <w:rPr>
          <w:rFonts w:ascii="Times New Roman" w:hAnsi="Times New Roman"/>
          <w:sz w:val="24"/>
          <w:szCs w:val="24"/>
        </w:rPr>
        <w:t>(202) 466-5424</w:t>
      </w:r>
    </w:p>
    <w:p w14:paraId="52555441" w14:textId="77777777" w:rsidR="004B2978" w:rsidRDefault="004B2978" w:rsidP="009D7353">
      <w:pPr>
        <w:pStyle w:val="NoSpacing"/>
        <w:rPr>
          <w:rFonts w:ascii="Times New Roman" w:hAnsi="Times New Roman"/>
          <w:sz w:val="24"/>
          <w:szCs w:val="24"/>
        </w:rPr>
        <w:sectPr w:rsidR="004B2978" w:rsidSect="00226B8C">
          <w:type w:val="continuous"/>
          <w:pgSz w:w="12240" w:h="15840"/>
          <w:pgMar w:top="1440" w:right="1440" w:bottom="1440" w:left="1440" w:header="720" w:footer="720" w:gutter="0"/>
          <w:cols w:space="720"/>
          <w:docGrid w:linePitch="360"/>
        </w:sectPr>
      </w:pPr>
    </w:p>
    <w:p w14:paraId="25D1BD66" w14:textId="77777777" w:rsidR="00226B8C" w:rsidRDefault="00226B8C" w:rsidP="00BF1F36">
      <w:pPr>
        <w:pStyle w:val="NoSpacing"/>
        <w:rPr>
          <w:rFonts w:ascii="Times New Roman" w:hAnsi="Times New Roman"/>
          <w:sz w:val="24"/>
          <w:szCs w:val="24"/>
        </w:rPr>
        <w:sectPr w:rsidR="00226B8C" w:rsidSect="00226B8C">
          <w:type w:val="continuous"/>
          <w:pgSz w:w="12240" w:h="15840"/>
          <w:pgMar w:top="1440" w:right="1440" w:bottom="1440" w:left="1440" w:header="720" w:footer="720" w:gutter="0"/>
          <w:cols w:space="720"/>
          <w:docGrid w:linePitch="360"/>
        </w:sectPr>
      </w:pPr>
    </w:p>
    <w:p w14:paraId="2E8E33E1" w14:textId="182D8847" w:rsidR="004B2978" w:rsidRPr="00C81AE5" w:rsidRDefault="009A2DA1" w:rsidP="00BF1F36">
      <w:pPr>
        <w:pStyle w:val="NoSpacing"/>
        <w:rPr>
          <w:rFonts w:ascii="Times New Roman" w:hAnsi="Times New Roman"/>
          <w:sz w:val="24"/>
          <w:szCs w:val="24"/>
        </w:rPr>
      </w:pPr>
      <w:r>
        <w:rPr>
          <w:rFonts w:ascii="Times New Roman" w:hAnsi="Times New Roman"/>
          <w:sz w:val="24"/>
          <w:szCs w:val="24"/>
        </w:rPr>
        <w:t>November 1</w:t>
      </w:r>
      <w:r w:rsidR="00982E75">
        <w:rPr>
          <w:rFonts w:ascii="Times New Roman" w:hAnsi="Times New Roman"/>
          <w:sz w:val="24"/>
          <w:szCs w:val="24"/>
        </w:rPr>
        <w:t>3</w:t>
      </w:r>
      <w:r>
        <w:rPr>
          <w:rFonts w:ascii="Times New Roman" w:hAnsi="Times New Roman"/>
          <w:sz w:val="24"/>
          <w:szCs w:val="24"/>
        </w:rPr>
        <w:t>, 2018</w:t>
      </w:r>
    </w:p>
    <w:sectPr w:rsidR="004B2978" w:rsidRPr="00C81AE5" w:rsidSect="00BF1F3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27CB1" w14:textId="77777777" w:rsidR="00832987" w:rsidRDefault="00832987" w:rsidP="0037404C">
      <w:pPr>
        <w:spacing w:after="0" w:line="240" w:lineRule="auto"/>
      </w:pPr>
      <w:r>
        <w:separator/>
      </w:r>
    </w:p>
  </w:endnote>
  <w:endnote w:type="continuationSeparator" w:id="0">
    <w:p w14:paraId="38A16004" w14:textId="77777777" w:rsidR="00832987" w:rsidRDefault="00832987" w:rsidP="00374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Body CS)">
    <w:panose1 w:val="02020603050405020304"/>
    <w:charset w:val="00"/>
    <w:family w:val="roman"/>
    <w:notTrueType/>
    <w:pitch w:val="default"/>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6537414"/>
      <w:docPartObj>
        <w:docPartGallery w:val="Page Numbers (Bottom of Page)"/>
        <w:docPartUnique/>
      </w:docPartObj>
    </w:sdtPr>
    <w:sdtEndPr>
      <w:rPr>
        <w:rFonts w:ascii="Times" w:hAnsi="Times" w:cs="Times New Roman"/>
        <w:noProof/>
        <w:sz w:val="24"/>
        <w:szCs w:val="24"/>
      </w:rPr>
    </w:sdtEndPr>
    <w:sdtContent>
      <w:p w14:paraId="7893BE01" w14:textId="77777777" w:rsidR="0037404C" w:rsidRPr="00C604C9" w:rsidRDefault="0037404C">
        <w:pPr>
          <w:pStyle w:val="Footer"/>
          <w:jc w:val="center"/>
          <w:rPr>
            <w:rFonts w:ascii="Times" w:hAnsi="Times"/>
            <w:sz w:val="24"/>
            <w:szCs w:val="24"/>
          </w:rPr>
        </w:pPr>
        <w:r w:rsidRPr="00C604C9">
          <w:rPr>
            <w:rFonts w:ascii="Times" w:hAnsi="Times"/>
            <w:sz w:val="24"/>
            <w:szCs w:val="24"/>
          </w:rPr>
          <w:fldChar w:fldCharType="begin"/>
        </w:r>
        <w:r w:rsidRPr="00C604C9">
          <w:rPr>
            <w:rFonts w:ascii="Times" w:hAnsi="Times"/>
            <w:sz w:val="24"/>
            <w:szCs w:val="24"/>
          </w:rPr>
          <w:instrText xml:space="preserve"> PAGE   \* MERGEFORMAT </w:instrText>
        </w:r>
        <w:r w:rsidRPr="00C604C9">
          <w:rPr>
            <w:rFonts w:ascii="Times" w:hAnsi="Times"/>
            <w:sz w:val="24"/>
            <w:szCs w:val="24"/>
          </w:rPr>
          <w:fldChar w:fldCharType="separate"/>
        </w:r>
        <w:r w:rsidRPr="00C604C9">
          <w:rPr>
            <w:rFonts w:ascii="Times" w:hAnsi="Times"/>
            <w:noProof/>
            <w:sz w:val="24"/>
            <w:szCs w:val="24"/>
          </w:rPr>
          <w:t>2</w:t>
        </w:r>
        <w:r w:rsidRPr="00C604C9">
          <w:rPr>
            <w:rFonts w:ascii="Times" w:hAnsi="Times"/>
            <w:noProof/>
            <w:sz w:val="24"/>
            <w:szCs w:val="24"/>
          </w:rPr>
          <w:fldChar w:fldCharType="end"/>
        </w:r>
      </w:p>
    </w:sdtContent>
  </w:sdt>
  <w:p w14:paraId="56ED1629" w14:textId="77777777" w:rsidR="0037404C" w:rsidRDefault="003740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970C7D" w14:textId="77777777" w:rsidR="00832987" w:rsidRDefault="00832987" w:rsidP="0037404C">
      <w:pPr>
        <w:spacing w:after="0" w:line="240" w:lineRule="auto"/>
      </w:pPr>
      <w:r>
        <w:separator/>
      </w:r>
    </w:p>
  </w:footnote>
  <w:footnote w:type="continuationSeparator" w:id="0">
    <w:p w14:paraId="1CA044B9" w14:textId="77777777" w:rsidR="00832987" w:rsidRDefault="00832987" w:rsidP="0037404C">
      <w:pPr>
        <w:spacing w:after="0" w:line="240" w:lineRule="auto"/>
      </w:pPr>
      <w:r>
        <w:continuationSeparator/>
      </w:r>
    </w:p>
  </w:footnote>
  <w:footnote w:id="1">
    <w:p w14:paraId="0101B5CF" w14:textId="77777777" w:rsidR="00AC54F3" w:rsidRPr="0059302C" w:rsidRDefault="006B0265">
      <w:pPr>
        <w:pStyle w:val="FootnoteText"/>
        <w:rPr>
          <w:rFonts w:ascii="Times New Roman" w:hAnsi="Times New Roman" w:cs="Times New Roman"/>
        </w:rPr>
      </w:pPr>
      <w:r w:rsidRPr="0059302C">
        <w:rPr>
          <w:rStyle w:val="FootnoteReference"/>
          <w:rFonts w:ascii="Times New Roman" w:hAnsi="Times New Roman" w:cs="Times New Roman"/>
        </w:rPr>
        <w:footnoteRef/>
      </w:r>
      <w:r w:rsidRPr="0059302C">
        <w:rPr>
          <w:rFonts w:ascii="Times New Roman" w:hAnsi="Times New Roman" w:cs="Times New Roman"/>
        </w:rPr>
        <w:t xml:space="preserve"> </w:t>
      </w:r>
      <w:r w:rsidR="00AC54F3" w:rsidRPr="0059302C">
        <w:rPr>
          <w:rFonts w:ascii="Times New Roman" w:hAnsi="Times New Roman" w:cs="Times New Roman"/>
        </w:rPr>
        <w:t xml:space="preserve">We contest the use of the term “in-kind” because </w:t>
      </w:r>
      <w:r w:rsidR="00935516" w:rsidRPr="0059302C">
        <w:rPr>
          <w:rFonts w:ascii="Times New Roman" w:hAnsi="Times New Roman" w:cs="Times New Roman"/>
        </w:rPr>
        <w:t xml:space="preserve">requirements by local franchising authorities </w:t>
      </w:r>
      <w:r w:rsidR="00564830" w:rsidRPr="0059302C">
        <w:rPr>
          <w:rFonts w:ascii="Times New Roman" w:hAnsi="Times New Roman" w:cs="Times New Roman"/>
        </w:rPr>
        <w:t xml:space="preserve">(“LFAs”) </w:t>
      </w:r>
      <w:r w:rsidR="00935516" w:rsidRPr="0059302C">
        <w:rPr>
          <w:rFonts w:ascii="Times New Roman" w:hAnsi="Times New Roman" w:cs="Times New Roman"/>
        </w:rPr>
        <w:t>are not in-kind payments or contributions in lieu of money, but instead are independent requirements</w:t>
      </w:r>
      <w:r w:rsidR="00564830" w:rsidRPr="0059302C">
        <w:rPr>
          <w:rFonts w:ascii="Times New Roman" w:hAnsi="Times New Roman" w:cs="Times New Roman"/>
        </w:rPr>
        <w:t xml:space="preserve"> set by the LFAs</w:t>
      </w:r>
      <w:r w:rsidR="00935516" w:rsidRPr="0059302C">
        <w:rPr>
          <w:rFonts w:ascii="Times New Roman" w:hAnsi="Times New Roman" w:cs="Times New Roman"/>
        </w:rPr>
        <w:t xml:space="preserve">. The Sixth Circuit in </w:t>
      </w:r>
      <w:r w:rsidR="00935516" w:rsidRPr="0059302C">
        <w:rPr>
          <w:rFonts w:ascii="Times New Roman" w:hAnsi="Times New Roman" w:cs="Times New Roman"/>
          <w:i/>
        </w:rPr>
        <w:t>Montgomery County v. FCC</w:t>
      </w:r>
      <w:r w:rsidR="00935516" w:rsidRPr="0059302C">
        <w:rPr>
          <w:rFonts w:ascii="Times New Roman" w:hAnsi="Times New Roman" w:cs="Times New Roman"/>
        </w:rPr>
        <w:t xml:space="preserve"> highlights this issue with calling these requirements an “in-kind” contribution. </w:t>
      </w:r>
      <w:r w:rsidR="00CB25C9" w:rsidRPr="0059302C">
        <w:rPr>
          <w:rFonts w:ascii="Times New Roman" w:hAnsi="Times New Roman" w:cs="Times New Roman"/>
          <w:i/>
        </w:rPr>
        <w:t xml:space="preserve">See Montgomery </w:t>
      </w:r>
      <w:proofErr w:type="spellStart"/>
      <w:r w:rsidR="00CB25C9" w:rsidRPr="0059302C">
        <w:rPr>
          <w:rFonts w:ascii="Times New Roman" w:hAnsi="Times New Roman" w:cs="Times New Roman"/>
          <w:i/>
        </w:rPr>
        <w:t>Cty</w:t>
      </w:r>
      <w:proofErr w:type="spellEnd"/>
      <w:r w:rsidR="00CB25C9" w:rsidRPr="0059302C">
        <w:rPr>
          <w:rFonts w:ascii="Times New Roman" w:hAnsi="Times New Roman" w:cs="Times New Roman"/>
          <w:i/>
        </w:rPr>
        <w:t xml:space="preserve"> v. FCC</w:t>
      </w:r>
      <w:r w:rsidR="00CB25C9" w:rsidRPr="0059302C">
        <w:rPr>
          <w:rFonts w:ascii="Times New Roman" w:hAnsi="Times New Roman" w:cs="Times New Roman"/>
        </w:rPr>
        <w:t xml:space="preserve">, </w:t>
      </w:r>
      <w:r w:rsidR="0037238F" w:rsidRPr="0059302C">
        <w:rPr>
          <w:rFonts w:ascii="Times New Roman" w:hAnsi="Times New Roman" w:cs="Times New Roman"/>
        </w:rPr>
        <w:t>8</w:t>
      </w:r>
      <w:r w:rsidR="00FE359A" w:rsidRPr="0059302C">
        <w:rPr>
          <w:rFonts w:ascii="Times New Roman" w:hAnsi="Times New Roman" w:cs="Times New Roman"/>
        </w:rPr>
        <w:t>63 F.3d 485, 491-92 (6th Cir. 2017).</w:t>
      </w:r>
      <w:r w:rsidR="00935516" w:rsidRPr="0059302C">
        <w:rPr>
          <w:rFonts w:ascii="Times New Roman" w:hAnsi="Times New Roman" w:cs="Times New Roman"/>
        </w:rPr>
        <w:t xml:space="preserve"> </w:t>
      </w:r>
      <w:r w:rsidR="004103E5" w:rsidRPr="0059302C">
        <w:rPr>
          <w:rFonts w:ascii="Times New Roman" w:hAnsi="Times New Roman" w:cs="Times New Roman"/>
        </w:rPr>
        <w:t>Additionally, the use of the term “contribution” implies the services the cable franchisees are required to provide are services to the local government itself. This is not the case. Instead these exactions benefit subscribers to the cable service, therefore it does not make sense to reduce rent payments because a subset of the taxpayers benefit from exactions.</w:t>
      </w:r>
      <w:r w:rsidR="00EC68E6" w:rsidRPr="0059302C">
        <w:rPr>
          <w:rFonts w:ascii="Times New Roman" w:hAnsi="Times New Roman" w:cs="Times New Roman"/>
        </w:rPr>
        <w:t xml:space="preserve"> Again exactions are not a benefit to the LFAs, instead they are a benefit to the public and to a subset of taxpayers. The LFAs are not looking to profit off of these cable franchise agreements.</w:t>
      </w:r>
      <w:r w:rsidR="004103E5" w:rsidRPr="0059302C">
        <w:rPr>
          <w:rFonts w:ascii="Times New Roman" w:hAnsi="Times New Roman" w:cs="Times New Roman"/>
        </w:rPr>
        <w:t xml:space="preserve"> </w:t>
      </w:r>
      <w:r w:rsidR="00935516" w:rsidRPr="0059302C">
        <w:rPr>
          <w:rFonts w:ascii="Times New Roman" w:hAnsi="Times New Roman" w:cs="Times New Roman"/>
        </w:rPr>
        <w:t>For ease of reference, we use the term “in-kind contribution</w:t>
      </w:r>
      <w:r w:rsidR="004E5015" w:rsidRPr="0059302C">
        <w:rPr>
          <w:rFonts w:ascii="Times New Roman" w:hAnsi="Times New Roman" w:cs="Times New Roman"/>
        </w:rPr>
        <w:t>”</w:t>
      </w:r>
      <w:r w:rsidR="00935516" w:rsidRPr="0059302C">
        <w:rPr>
          <w:rFonts w:ascii="Times New Roman" w:hAnsi="Times New Roman" w:cs="Times New Roman"/>
        </w:rPr>
        <w:t xml:space="preserve"> throughout our filing, but wish to maintain our perspective that this is an inaccurate term</w:t>
      </w:r>
      <w:r w:rsidR="000B5897" w:rsidRPr="0059302C">
        <w:rPr>
          <w:rFonts w:ascii="Times New Roman" w:hAnsi="Times New Roman" w:cs="Times New Roman"/>
        </w:rPr>
        <w:t xml:space="preserve"> for the reason</w:t>
      </w:r>
      <w:r w:rsidR="004103E5" w:rsidRPr="0059302C">
        <w:rPr>
          <w:rFonts w:ascii="Times New Roman" w:hAnsi="Times New Roman" w:cs="Times New Roman"/>
        </w:rPr>
        <w:t>s</w:t>
      </w:r>
      <w:r w:rsidR="000B5897" w:rsidRPr="0059302C">
        <w:rPr>
          <w:rFonts w:ascii="Times New Roman" w:hAnsi="Times New Roman" w:cs="Times New Roman"/>
        </w:rPr>
        <w:t xml:space="preserve"> stated above.</w:t>
      </w:r>
    </w:p>
  </w:footnote>
  <w:footnote w:id="2">
    <w:p w14:paraId="39A87CD3" w14:textId="77777777" w:rsidR="00664172" w:rsidRPr="0059302C" w:rsidRDefault="00664172">
      <w:pPr>
        <w:pStyle w:val="FootnoteText"/>
        <w:rPr>
          <w:rFonts w:ascii="Times New Roman" w:hAnsi="Times New Roman" w:cs="Times New Roman"/>
        </w:rPr>
      </w:pPr>
      <w:r w:rsidRPr="0059302C">
        <w:rPr>
          <w:rStyle w:val="FootnoteReference"/>
          <w:rFonts w:ascii="Times New Roman" w:hAnsi="Times New Roman" w:cs="Times New Roman"/>
        </w:rPr>
        <w:footnoteRef/>
      </w:r>
      <w:r w:rsidRPr="0059302C">
        <w:rPr>
          <w:rFonts w:ascii="Times New Roman" w:hAnsi="Times New Roman" w:cs="Times New Roman"/>
        </w:rPr>
        <w:t xml:space="preserve"> </w:t>
      </w:r>
      <w:r w:rsidRPr="0059302C">
        <w:rPr>
          <w:rFonts w:ascii="Times New Roman" w:hAnsi="Times New Roman" w:cs="Times New Roman"/>
          <w:i/>
        </w:rPr>
        <w:t xml:space="preserve">Montgomery </w:t>
      </w:r>
      <w:proofErr w:type="spellStart"/>
      <w:r w:rsidRPr="0059302C">
        <w:rPr>
          <w:rFonts w:ascii="Times New Roman" w:hAnsi="Times New Roman" w:cs="Times New Roman"/>
          <w:i/>
        </w:rPr>
        <w:t>Cty</w:t>
      </w:r>
      <w:proofErr w:type="spellEnd"/>
      <w:r w:rsidRPr="0059302C">
        <w:rPr>
          <w:rFonts w:ascii="Times New Roman" w:hAnsi="Times New Roman" w:cs="Times New Roman"/>
          <w:i/>
        </w:rPr>
        <w:t xml:space="preserve"> v. FCC</w:t>
      </w:r>
      <w:r w:rsidRPr="0059302C">
        <w:rPr>
          <w:rFonts w:ascii="Times New Roman" w:hAnsi="Times New Roman" w:cs="Times New Roman"/>
        </w:rPr>
        <w:t>, 863 F.3d 485, 491-92 (6th Cir. 2017)</w:t>
      </w:r>
    </w:p>
  </w:footnote>
  <w:footnote w:id="3">
    <w:p w14:paraId="0FC96E18" w14:textId="77777777" w:rsidR="00664172" w:rsidRPr="0059302C" w:rsidRDefault="00664172">
      <w:pPr>
        <w:pStyle w:val="FootnoteText"/>
        <w:rPr>
          <w:rFonts w:ascii="Times New Roman" w:hAnsi="Times New Roman" w:cs="Times New Roman"/>
        </w:rPr>
      </w:pPr>
      <w:r w:rsidRPr="0059302C">
        <w:rPr>
          <w:rStyle w:val="FootnoteReference"/>
          <w:rFonts w:ascii="Times New Roman" w:hAnsi="Times New Roman" w:cs="Times New Roman"/>
        </w:rPr>
        <w:footnoteRef/>
      </w:r>
      <w:r w:rsidRPr="0059302C">
        <w:rPr>
          <w:rFonts w:ascii="Times New Roman" w:hAnsi="Times New Roman" w:cs="Times New Roman"/>
        </w:rPr>
        <w:t xml:space="preserve"> 47 U</w:t>
      </w:r>
      <w:r w:rsidR="003255B3" w:rsidRPr="0059302C">
        <w:rPr>
          <w:rFonts w:ascii="Times New Roman" w:hAnsi="Times New Roman" w:cs="Times New Roman"/>
        </w:rPr>
        <w:t>.</w:t>
      </w:r>
      <w:r w:rsidRPr="0059302C">
        <w:rPr>
          <w:rFonts w:ascii="Times New Roman" w:hAnsi="Times New Roman" w:cs="Times New Roman"/>
        </w:rPr>
        <w:t>S</w:t>
      </w:r>
      <w:r w:rsidR="003255B3" w:rsidRPr="0059302C">
        <w:rPr>
          <w:rFonts w:ascii="Times New Roman" w:hAnsi="Times New Roman" w:cs="Times New Roman"/>
        </w:rPr>
        <w:t>.</w:t>
      </w:r>
      <w:r w:rsidRPr="0059302C">
        <w:rPr>
          <w:rFonts w:ascii="Times New Roman" w:hAnsi="Times New Roman" w:cs="Times New Roman"/>
        </w:rPr>
        <w:t>C</w:t>
      </w:r>
      <w:r w:rsidR="003255B3" w:rsidRPr="0059302C">
        <w:rPr>
          <w:rFonts w:ascii="Times New Roman" w:hAnsi="Times New Roman" w:cs="Times New Roman"/>
        </w:rPr>
        <w:t>.</w:t>
      </w:r>
      <w:r w:rsidRPr="0059302C">
        <w:rPr>
          <w:rFonts w:ascii="Times New Roman" w:hAnsi="Times New Roman" w:cs="Times New Roman"/>
        </w:rPr>
        <w:t xml:space="preserve"> § 531(b)</w:t>
      </w:r>
    </w:p>
  </w:footnote>
  <w:footnote w:id="4">
    <w:p w14:paraId="3D913994" w14:textId="77777777" w:rsidR="00664172" w:rsidRPr="0059302C" w:rsidRDefault="00664172">
      <w:pPr>
        <w:pStyle w:val="FootnoteText"/>
        <w:rPr>
          <w:rFonts w:ascii="Times New Roman" w:hAnsi="Times New Roman" w:cs="Times New Roman"/>
        </w:rPr>
      </w:pPr>
      <w:r w:rsidRPr="0059302C">
        <w:rPr>
          <w:rStyle w:val="FootnoteReference"/>
          <w:rFonts w:ascii="Times New Roman" w:hAnsi="Times New Roman" w:cs="Times New Roman"/>
        </w:rPr>
        <w:footnoteRef/>
      </w:r>
      <w:r w:rsidRPr="0059302C">
        <w:rPr>
          <w:rFonts w:ascii="Times New Roman" w:hAnsi="Times New Roman" w:cs="Times New Roman"/>
        </w:rPr>
        <w:t xml:space="preserve"> 47 U</w:t>
      </w:r>
      <w:r w:rsidR="003255B3" w:rsidRPr="0059302C">
        <w:rPr>
          <w:rFonts w:ascii="Times New Roman" w:hAnsi="Times New Roman" w:cs="Times New Roman"/>
        </w:rPr>
        <w:t>.</w:t>
      </w:r>
      <w:r w:rsidRPr="0059302C">
        <w:rPr>
          <w:rFonts w:ascii="Times New Roman" w:hAnsi="Times New Roman" w:cs="Times New Roman"/>
        </w:rPr>
        <w:t>S</w:t>
      </w:r>
      <w:r w:rsidR="003255B3" w:rsidRPr="0059302C">
        <w:rPr>
          <w:rFonts w:ascii="Times New Roman" w:hAnsi="Times New Roman" w:cs="Times New Roman"/>
        </w:rPr>
        <w:t>.</w:t>
      </w:r>
      <w:r w:rsidRPr="0059302C">
        <w:rPr>
          <w:rFonts w:ascii="Times New Roman" w:hAnsi="Times New Roman" w:cs="Times New Roman"/>
        </w:rPr>
        <w:t>C</w:t>
      </w:r>
      <w:r w:rsidR="003255B3" w:rsidRPr="0059302C">
        <w:rPr>
          <w:rFonts w:ascii="Times New Roman" w:hAnsi="Times New Roman" w:cs="Times New Roman"/>
        </w:rPr>
        <w:t>.</w:t>
      </w:r>
      <w:r w:rsidRPr="0059302C">
        <w:rPr>
          <w:rFonts w:ascii="Times New Roman" w:hAnsi="Times New Roman" w:cs="Times New Roman"/>
        </w:rPr>
        <w:t xml:space="preserve"> § 541 (b)(3)(D)</w:t>
      </w:r>
    </w:p>
  </w:footnote>
  <w:footnote w:id="5">
    <w:p w14:paraId="075AB8B6" w14:textId="77777777" w:rsidR="00AF75D5" w:rsidRPr="0059302C" w:rsidRDefault="00664172">
      <w:pPr>
        <w:pStyle w:val="FootnoteText"/>
        <w:rPr>
          <w:rFonts w:ascii="Times New Roman" w:hAnsi="Times New Roman" w:cs="Times New Roman"/>
        </w:rPr>
      </w:pPr>
      <w:r w:rsidRPr="0059302C">
        <w:rPr>
          <w:rStyle w:val="FootnoteReference"/>
          <w:rFonts w:ascii="Times New Roman" w:hAnsi="Times New Roman" w:cs="Times New Roman"/>
        </w:rPr>
        <w:footnoteRef/>
      </w:r>
      <w:r w:rsidRPr="0059302C">
        <w:rPr>
          <w:rFonts w:ascii="Times New Roman" w:hAnsi="Times New Roman" w:cs="Times New Roman"/>
        </w:rPr>
        <w:t xml:space="preserve"> 47 U</w:t>
      </w:r>
      <w:r w:rsidR="003255B3" w:rsidRPr="0059302C">
        <w:rPr>
          <w:rFonts w:ascii="Times New Roman" w:hAnsi="Times New Roman" w:cs="Times New Roman"/>
        </w:rPr>
        <w:t>.</w:t>
      </w:r>
      <w:r w:rsidRPr="0059302C">
        <w:rPr>
          <w:rFonts w:ascii="Times New Roman" w:hAnsi="Times New Roman" w:cs="Times New Roman"/>
        </w:rPr>
        <w:t>S</w:t>
      </w:r>
      <w:r w:rsidR="003255B3" w:rsidRPr="0059302C">
        <w:rPr>
          <w:rFonts w:ascii="Times New Roman" w:hAnsi="Times New Roman" w:cs="Times New Roman"/>
        </w:rPr>
        <w:t>.</w:t>
      </w:r>
      <w:r w:rsidRPr="0059302C">
        <w:rPr>
          <w:rFonts w:ascii="Times New Roman" w:hAnsi="Times New Roman" w:cs="Times New Roman"/>
        </w:rPr>
        <w:t>C</w:t>
      </w:r>
      <w:r w:rsidR="003255B3" w:rsidRPr="0059302C">
        <w:rPr>
          <w:rFonts w:ascii="Times New Roman" w:hAnsi="Times New Roman" w:cs="Times New Roman"/>
        </w:rPr>
        <w:t>.</w:t>
      </w:r>
      <w:r w:rsidRPr="0059302C">
        <w:rPr>
          <w:rFonts w:ascii="Times New Roman" w:hAnsi="Times New Roman" w:cs="Times New Roman"/>
        </w:rPr>
        <w:t xml:space="preserve"> § 541(a)(3); </w:t>
      </w:r>
      <w:r w:rsidRPr="0059302C">
        <w:rPr>
          <w:rFonts w:ascii="Times New Roman" w:hAnsi="Times New Roman" w:cs="Times New Roman"/>
          <w:i/>
        </w:rPr>
        <w:t xml:space="preserve">see also Montgomery </w:t>
      </w:r>
      <w:proofErr w:type="spellStart"/>
      <w:r w:rsidRPr="0059302C">
        <w:rPr>
          <w:rFonts w:ascii="Times New Roman" w:hAnsi="Times New Roman" w:cs="Times New Roman"/>
          <w:i/>
        </w:rPr>
        <w:t>Cty</w:t>
      </w:r>
      <w:proofErr w:type="spellEnd"/>
      <w:r w:rsidRPr="0059302C">
        <w:rPr>
          <w:rFonts w:ascii="Times New Roman" w:hAnsi="Times New Roman" w:cs="Times New Roman"/>
          <w:i/>
        </w:rPr>
        <w:t xml:space="preserve"> v. FCC</w:t>
      </w:r>
      <w:r w:rsidRPr="0059302C">
        <w:rPr>
          <w:rFonts w:ascii="Times New Roman" w:hAnsi="Times New Roman" w:cs="Times New Roman"/>
        </w:rPr>
        <w:t xml:space="preserve">, 863 F.3d 485, 491 (6th Cir. 2017) (explaining it is contrary to the intent of Congress for the Commission to include both </w:t>
      </w:r>
    </w:p>
    <w:p w14:paraId="3E6CDEB5" w14:textId="77777777" w:rsidR="00664172" w:rsidRPr="0059302C" w:rsidRDefault="00664172">
      <w:pPr>
        <w:pStyle w:val="FootnoteText"/>
        <w:rPr>
          <w:rFonts w:ascii="Times New Roman" w:hAnsi="Times New Roman" w:cs="Times New Roman"/>
        </w:rPr>
      </w:pPr>
      <w:r w:rsidRPr="0059302C">
        <w:rPr>
          <w:rFonts w:ascii="Times New Roman" w:hAnsi="Times New Roman" w:cs="Times New Roman"/>
        </w:rPr>
        <w:t>requirements imposed by statute and allowances made by statute as a franchise fee)</w:t>
      </w:r>
    </w:p>
  </w:footnote>
  <w:footnote w:id="6">
    <w:p w14:paraId="71A88F41" w14:textId="77777777" w:rsidR="00B17B13" w:rsidRPr="0059302C" w:rsidRDefault="00B17B13">
      <w:pPr>
        <w:pStyle w:val="FootnoteText"/>
        <w:rPr>
          <w:rFonts w:ascii="Times New Roman" w:hAnsi="Times New Roman" w:cs="Times New Roman"/>
        </w:rPr>
      </w:pPr>
      <w:r w:rsidRPr="0059302C">
        <w:rPr>
          <w:rStyle w:val="FootnoteReference"/>
          <w:rFonts w:ascii="Times New Roman" w:hAnsi="Times New Roman" w:cs="Times New Roman"/>
        </w:rPr>
        <w:footnoteRef/>
      </w:r>
      <w:r w:rsidRPr="0059302C">
        <w:rPr>
          <w:rFonts w:ascii="Times New Roman" w:hAnsi="Times New Roman" w:cs="Times New Roman"/>
        </w:rPr>
        <w:t xml:space="preserve"> </w:t>
      </w:r>
      <w:r w:rsidRPr="0059302C">
        <w:rPr>
          <w:rFonts w:ascii="Times New Roman" w:hAnsi="Times New Roman" w:cs="Times New Roman"/>
          <w:i/>
        </w:rPr>
        <w:t xml:space="preserve">See </w:t>
      </w:r>
      <w:r w:rsidRPr="0059302C">
        <w:rPr>
          <w:rFonts w:ascii="Times New Roman" w:hAnsi="Times New Roman" w:cs="Times New Roman"/>
        </w:rPr>
        <w:t>47 U</w:t>
      </w:r>
      <w:r w:rsidR="003255B3" w:rsidRPr="0059302C">
        <w:rPr>
          <w:rFonts w:ascii="Times New Roman" w:hAnsi="Times New Roman" w:cs="Times New Roman"/>
        </w:rPr>
        <w:t>.</w:t>
      </w:r>
      <w:r w:rsidRPr="0059302C">
        <w:rPr>
          <w:rFonts w:ascii="Times New Roman" w:hAnsi="Times New Roman" w:cs="Times New Roman"/>
        </w:rPr>
        <w:t>S</w:t>
      </w:r>
      <w:r w:rsidR="003255B3" w:rsidRPr="0059302C">
        <w:rPr>
          <w:rFonts w:ascii="Times New Roman" w:hAnsi="Times New Roman" w:cs="Times New Roman"/>
        </w:rPr>
        <w:t>.</w:t>
      </w:r>
      <w:r w:rsidRPr="0059302C">
        <w:rPr>
          <w:rFonts w:ascii="Times New Roman" w:hAnsi="Times New Roman" w:cs="Times New Roman"/>
        </w:rPr>
        <w:t>C</w:t>
      </w:r>
      <w:r w:rsidR="003255B3" w:rsidRPr="0059302C">
        <w:rPr>
          <w:rFonts w:ascii="Times New Roman" w:hAnsi="Times New Roman" w:cs="Times New Roman"/>
        </w:rPr>
        <w:t>.</w:t>
      </w:r>
      <w:r w:rsidRPr="0059302C">
        <w:rPr>
          <w:rFonts w:ascii="Times New Roman" w:hAnsi="Times New Roman" w:cs="Times New Roman"/>
        </w:rPr>
        <w:t xml:space="preserve"> § 542(</w:t>
      </w:r>
      <w:proofErr w:type="spellStart"/>
      <w:r w:rsidRPr="0059302C">
        <w:rPr>
          <w:rFonts w:ascii="Times New Roman" w:hAnsi="Times New Roman" w:cs="Times New Roman"/>
        </w:rPr>
        <w:t>i</w:t>
      </w:r>
      <w:proofErr w:type="spellEnd"/>
      <w:r w:rsidRPr="0059302C">
        <w:rPr>
          <w:rFonts w:ascii="Times New Roman" w:hAnsi="Times New Roman" w:cs="Times New Roman"/>
        </w:rPr>
        <w:t>) (stating, “any Federal agency may not regulate the amount of the franchise fees paid by a cable operator, or regulate the use of funds derived from such fees, except as provided in this section”)</w:t>
      </w:r>
    </w:p>
  </w:footnote>
  <w:footnote w:id="7">
    <w:p w14:paraId="337EE70E" w14:textId="77777777" w:rsidR="00EE1F12" w:rsidRPr="0059302C" w:rsidRDefault="00EE1F12">
      <w:pPr>
        <w:pStyle w:val="FootnoteText"/>
        <w:rPr>
          <w:rFonts w:ascii="Times New Roman" w:hAnsi="Times New Roman" w:cs="Times New Roman"/>
        </w:rPr>
      </w:pPr>
      <w:r w:rsidRPr="0059302C">
        <w:rPr>
          <w:rStyle w:val="FootnoteReference"/>
          <w:rFonts w:ascii="Times New Roman" w:hAnsi="Times New Roman" w:cs="Times New Roman"/>
        </w:rPr>
        <w:footnoteRef/>
      </w:r>
      <w:r w:rsidRPr="0059302C">
        <w:rPr>
          <w:rFonts w:ascii="Times New Roman" w:hAnsi="Times New Roman" w:cs="Times New Roman"/>
        </w:rPr>
        <w:t xml:space="preserve"> </w:t>
      </w:r>
      <w:r w:rsidRPr="0059302C">
        <w:rPr>
          <w:rFonts w:ascii="Times New Roman" w:hAnsi="Times New Roman" w:cs="Times New Roman"/>
          <w:i/>
        </w:rPr>
        <w:t xml:space="preserve">See Montgomery </w:t>
      </w:r>
      <w:proofErr w:type="spellStart"/>
      <w:r w:rsidRPr="0059302C">
        <w:rPr>
          <w:rFonts w:ascii="Times New Roman" w:hAnsi="Times New Roman" w:cs="Times New Roman"/>
          <w:i/>
        </w:rPr>
        <w:t>Cty</w:t>
      </w:r>
      <w:proofErr w:type="spellEnd"/>
      <w:r w:rsidRPr="0059302C">
        <w:rPr>
          <w:rFonts w:ascii="Times New Roman" w:hAnsi="Times New Roman" w:cs="Times New Roman"/>
          <w:i/>
        </w:rPr>
        <w:t xml:space="preserve"> v. FCC</w:t>
      </w:r>
      <w:r w:rsidRPr="0059302C">
        <w:rPr>
          <w:rFonts w:ascii="Times New Roman" w:hAnsi="Times New Roman" w:cs="Times New Roman"/>
        </w:rPr>
        <w:t xml:space="preserve">, </w:t>
      </w:r>
      <w:r w:rsidR="009A025C" w:rsidRPr="0059302C">
        <w:rPr>
          <w:rFonts w:ascii="Times New Roman" w:hAnsi="Times New Roman" w:cs="Times New Roman"/>
        </w:rPr>
        <w:t>863 F.3d 485, 488-92 (6th Cir. 2017)</w:t>
      </w:r>
    </w:p>
  </w:footnote>
  <w:footnote w:id="8">
    <w:p w14:paraId="2672CD5E" w14:textId="7A532714" w:rsidR="006B3456" w:rsidRPr="0059302C" w:rsidRDefault="006B3456">
      <w:pPr>
        <w:pStyle w:val="FootnoteText"/>
        <w:rPr>
          <w:rFonts w:ascii="Times New Roman" w:hAnsi="Times New Roman" w:cs="Times New Roman"/>
        </w:rPr>
      </w:pPr>
      <w:r w:rsidRPr="0059302C">
        <w:rPr>
          <w:rStyle w:val="FootnoteReference"/>
          <w:rFonts w:ascii="Times New Roman" w:hAnsi="Times New Roman" w:cs="Times New Roman"/>
        </w:rPr>
        <w:footnoteRef/>
      </w:r>
      <w:r w:rsidRPr="0059302C">
        <w:rPr>
          <w:rFonts w:ascii="Times New Roman" w:hAnsi="Times New Roman" w:cs="Times New Roman"/>
        </w:rPr>
        <w:t xml:space="preserve"> </w:t>
      </w:r>
      <w:r w:rsidR="00997CDE">
        <w:rPr>
          <w:rFonts w:ascii="Times New Roman" w:hAnsi="Times New Roman" w:cs="Times New Roman"/>
        </w:rPr>
        <w:t>Jurisdictions who will encounter these issues include municipalities in California, Texas, and Michigan, though this list is not exhaustive. One comment IMLA wishes to highlight for the Commission is that of Lansing, MI who addresses this issue in greater detail.</w:t>
      </w:r>
    </w:p>
  </w:footnote>
  <w:footnote w:id="9">
    <w:p w14:paraId="4B02C61E" w14:textId="6DEEBE1F" w:rsidR="00AD0DAB" w:rsidRPr="004E4A5E" w:rsidRDefault="00AD0DAB">
      <w:pPr>
        <w:pStyle w:val="FootnoteText"/>
        <w:rPr>
          <w:rFonts w:ascii="Times New Roman" w:hAnsi="Times New Roman" w:cs="Times New Roman"/>
        </w:rPr>
      </w:pPr>
      <w:r w:rsidRPr="004E4A5E">
        <w:rPr>
          <w:rStyle w:val="FootnoteReference"/>
          <w:rFonts w:ascii="Times New Roman" w:hAnsi="Times New Roman" w:cs="Times New Roman"/>
        </w:rPr>
        <w:footnoteRef/>
      </w:r>
      <w:r w:rsidRPr="004E4A5E">
        <w:rPr>
          <w:rFonts w:ascii="Times New Roman" w:hAnsi="Times New Roman" w:cs="Times New Roman"/>
        </w:rPr>
        <w:t xml:space="preserve"> </w:t>
      </w:r>
      <w:r w:rsidRPr="004E4A5E">
        <w:rPr>
          <w:rFonts w:ascii="Times New Roman" w:hAnsi="Times New Roman" w:cs="Times New Roman"/>
          <w:i/>
        </w:rPr>
        <w:t>See</w:t>
      </w:r>
      <w:r w:rsidRPr="004E4A5E">
        <w:rPr>
          <w:rFonts w:ascii="Times New Roman" w:hAnsi="Times New Roman" w:cs="Times New Roman"/>
        </w:rPr>
        <w:t xml:space="preserve"> </w:t>
      </w:r>
      <w:r w:rsidR="004E4A5E" w:rsidRPr="004E4A5E">
        <w:rPr>
          <w:rFonts w:ascii="Times New Roman" w:hAnsi="Times New Roman" w:cs="Times New Roman"/>
        </w:rPr>
        <w:t>Georgia Municipal Association, Comments at pg. 1</w:t>
      </w:r>
      <w:r w:rsidR="005E4F63">
        <w:rPr>
          <w:rFonts w:ascii="Times New Roman" w:hAnsi="Times New Roman" w:cs="Times New Roman"/>
        </w:rPr>
        <w:t xml:space="preserve">-2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F17"/>
    <w:multiLevelType w:val="hybridMultilevel"/>
    <w:tmpl w:val="8FDC8A14"/>
    <w:lvl w:ilvl="0" w:tplc="57C6E3F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5C11DC"/>
    <w:multiLevelType w:val="hybridMultilevel"/>
    <w:tmpl w:val="C79C2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4B50DD"/>
    <w:multiLevelType w:val="hybridMultilevel"/>
    <w:tmpl w:val="F202EC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2B1CC1"/>
    <w:multiLevelType w:val="hybridMultilevel"/>
    <w:tmpl w:val="9C166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863729"/>
    <w:multiLevelType w:val="hybridMultilevel"/>
    <w:tmpl w:val="6FFA6A14"/>
    <w:lvl w:ilvl="0" w:tplc="9DA660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AE5"/>
    <w:rsid w:val="00002F89"/>
    <w:rsid w:val="000212F2"/>
    <w:rsid w:val="000345D0"/>
    <w:rsid w:val="00036439"/>
    <w:rsid w:val="000417BA"/>
    <w:rsid w:val="00053CD8"/>
    <w:rsid w:val="000773C3"/>
    <w:rsid w:val="000A46F2"/>
    <w:rsid w:val="000B5897"/>
    <w:rsid w:val="000D6921"/>
    <w:rsid w:val="000E3C4A"/>
    <w:rsid w:val="000F5B5A"/>
    <w:rsid w:val="00152166"/>
    <w:rsid w:val="00155C22"/>
    <w:rsid w:val="001564FA"/>
    <w:rsid w:val="00193147"/>
    <w:rsid w:val="001B0442"/>
    <w:rsid w:val="001B6B76"/>
    <w:rsid w:val="001B75E6"/>
    <w:rsid w:val="001D16FD"/>
    <w:rsid w:val="001F6665"/>
    <w:rsid w:val="00226B8C"/>
    <w:rsid w:val="00226FD8"/>
    <w:rsid w:val="002412C0"/>
    <w:rsid w:val="00242DAC"/>
    <w:rsid w:val="002464FD"/>
    <w:rsid w:val="00260800"/>
    <w:rsid w:val="002745C4"/>
    <w:rsid w:val="00275894"/>
    <w:rsid w:val="002909BD"/>
    <w:rsid w:val="0029631D"/>
    <w:rsid w:val="002B5D48"/>
    <w:rsid w:val="002E3E4D"/>
    <w:rsid w:val="002F4C23"/>
    <w:rsid w:val="0031108E"/>
    <w:rsid w:val="003255B3"/>
    <w:rsid w:val="003462C0"/>
    <w:rsid w:val="00353F06"/>
    <w:rsid w:val="003560BA"/>
    <w:rsid w:val="0037238F"/>
    <w:rsid w:val="0037404C"/>
    <w:rsid w:val="00377006"/>
    <w:rsid w:val="003C3CFC"/>
    <w:rsid w:val="003E2430"/>
    <w:rsid w:val="003F39C1"/>
    <w:rsid w:val="0040490F"/>
    <w:rsid w:val="004103E5"/>
    <w:rsid w:val="00412DE8"/>
    <w:rsid w:val="004160AD"/>
    <w:rsid w:val="004176E3"/>
    <w:rsid w:val="004302AF"/>
    <w:rsid w:val="00433BC9"/>
    <w:rsid w:val="00470D3B"/>
    <w:rsid w:val="004731B3"/>
    <w:rsid w:val="00483004"/>
    <w:rsid w:val="00485E6D"/>
    <w:rsid w:val="00487ED7"/>
    <w:rsid w:val="004B2978"/>
    <w:rsid w:val="004B2CB0"/>
    <w:rsid w:val="004D79C6"/>
    <w:rsid w:val="004E1AFD"/>
    <w:rsid w:val="004E4A5E"/>
    <w:rsid w:val="004E5015"/>
    <w:rsid w:val="004E78B2"/>
    <w:rsid w:val="004F7971"/>
    <w:rsid w:val="005041E6"/>
    <w:rsid w:val="00505E70"/>
    <w:rsid w:val="005152B3"/>
    <w:rsid w:val="00552F7B"/>
    <w:rsid w:val="00557F6F"/>
    <w:rsid w:val="00564830"/>
    <w:rsid w:val="005654EB"/>
    <w:rsid w:val="00571887"/>
    <w:rsid w:val="0059302C"/>
    <w:rsid w:val="005A1144"/>
    <w:rsid w:val="005B7A0C"/>
    <w:rsid w:val="005C3FB4"/>
    <w:rsid w:val="005E4F63"/>
    <w:rsid w:val="00601180"/>
    <w:rsid w:val="00664172"/>
    <w:rsid w:val="006863F3"/>
    <w:rsid w:val="00686861"/>
    <w:rsid w:val="006A3905"/>
    <w:rsid w:val="006B0265"/>
    <w:rsid w:val="006B3456"/>
    <w:rsid w:val="006C2D4A"/>
    <w:rsid w:val="006E3877"/>
    <w:rsid w:val="006F22BC"/>
    <w:rsid w:val="006F6278"/>
    <w:rsid w:val="006F68B7"/>
    <w:rsid w:val="0075178A"/>
    <w:rsid w:val="007609F9"/>
    <w:rsid w:val="0077268B"/>
    <w:rsid w:val="00782F67"/>
    <w:rsid w:val="007A0767"/>
    <w:rsid w:val="007A4213"/>
    <w:rsid w:val="007B253E"/>
    <w:rsid w:val="007E1B5F"/>
    <w:rsid w:val="007E5454"/>
    <w:rsid w:val="007F4FAC"/>
    <w:rsid w:val="00802D7E"/>
    <w:rsid w:val="00806014"/>
    <w:rsid w:val="00806D1A"/>
    <w:rsid w:val="00811690"/>
    <w:rsid w:val="00811AA5"/>
    <w:rsid w:val="00812D0F"/>
    <w:rsid w:val="008147FB"/>
    <w:rsid w:val="00823F43"/>
    <w:rsid w:val="00832987"/>
    <w:rsid w:val="00842B12"/>
    <w:rsid w:val="008454D3"/>
    <w:rsid w:val="008517DA"/>
    <w:rsid w:val="00854BD0"/>
    <w:rsid w:val="00854F43"/>
    <w:rsid w:val="00890271"/>
    <w:rsid w:val="008F6657"/>
    <w:rsid w:val="00916267"/>
    <w:rsid w:val="00935516"/>
    <w:rsid w:val="009726A1"/>
    <w:rsid w:val="00982E75"/>
    <w:rsid w:val="0098563F"/>
    <w:rsid w:val="00997CDE"/>
    <w:rsid w:val="009A025C"/>
    <w:rsid w:val="009A2DA1"/>
    <w:rsid w:val="009B1994"/>
    <w:rsid w:val="009B7FF1"/>
    <w:rsid w:val="009D7353"/>
    <w:rsid w:val="009F3ED5"/>
    <w:rsid w:val="009F59A6"/>
    <w:rsid w:val="00A020FE"/>
    <w:rsid w:val="00A02D47"/>
    <w:rsid w:val="00A23279"/>
    <w:rsid w:val="00A31881"/>
    <w:rsid w:val="00A75888"/>
    <w:rsid w:val="00A86EA5"/>
    <w:rsid w:val="00A91B11"/>
    <w:rsid w:val="00AA0010"/>
    <w:rsid w:val="00AB2B8F"/>
    <w:rsid w:val="00AC54F3"/>
    <w:rsid w:val="00AD0DAB"/>
    <w:rsid w:val="00AE372F"/>
    <w:rsid w:val="00AF3944"/>
    <w:rsid w:val="00AF75D5"/>
    <w:rsid w:val="00AF7DFE"/>
    <w:rsid w:val="00B043E5"/>
    <w:rsid w:val="00B044F4"/>
    <w:rsid w:val="00B11FB2"/>
    <w:rsid w:val="00B17B13"/>
    <w:rsid w:val="00B20B8F"/>
    <w:rsid w:val="00B33940"/>
    <w:rsid w:val="00B3398C"/>
    <w:rsid w:val="00B4683D"/>
    <w:rsid w:val="00B64AF9"/>
    <w:rsid w:val="00B72CEB"/>
    <w:rsid w:val="00BB3605"/>
    <w:rsid w:val="00BC0C1A"/>
    <w:rsid w:val="00BD1E66"/>
    <w:rsid w:val="00BF1469"/>
    <w:rsid w:val="00BF1F36"/>
    <w:rsid w:val="00C345A6"/>
    <w:rsid w:val="00C422D1"/>
    <w:rsid w:val="00C525C0"/>
    <w:rsid w:val="00C52C55"/>
    <w:rsid w:val="00C574F3"/>
    <w:rsid w:val="00C57874"/>
    <w:rsid w:val="00C604C9"/>
    <w:rsid w:val="00C81AE5"/>
    <w:rsid w:val="00CA584C"/>
    <w:rsid w:val="00CA7970"/>
    <w:rsid w:val="00CB25C9"/>
    <w:rsid w:val="00CB45E1"/>
    <w:rsid w:val="00CE08F8"/>
    <w:rsid w:val="00CE297F"/>
    <w:rsid w:val="00D10A13"/>
    <w:rsid w:val="00D10DFB"/>
    <w:rsid w:val="00D15AA9"/>
    <w:rsid w:val="00D401A4"/>
    <w:rsid w:val="00D46642"/>
    <w:rsid w:val="00D61EE5"/>
    <w:rsid w:val="00D8444B"/>
    <w:rsid w:val="00D90E32"/>
    <w:rsid w:val="00D979A7"/>
    <w:rsid w:val="00DD527B"/>
    <w:rsid w:val="00DF0465"/>
    <w:rsid w:val="00E007FF"/>
    <w:rsid w:val="00E01596"/>
    <w:rsid w:val="00E04DD3"/>
    <w:rsid w:val="00E1148F"/>
    <w:rsid w:val="00E15DB4"/>
    <w:rsid w:val="00E24946"/>
    <w:rsid w:val="00E313CB"/>
    <w:rsid w:val="00E8503D"/>
    <w:rsid w:val="00EA00BB"/>
    <w:rsid w:val="00EA0E33"/>
    <w:rsid w:val="00EC68E6"/>
    <w:rsid w:val="00EE1DCE"/>
    <w:rsid w:val="00EE1F12"/>
    <w:rsid w:val="00F320C0"/>
    <w:rsid w:val="00F41873"/>
    <w:rsid w:val="00F44683"/>
    <w:rsid w:val="00F67362"/>
    <w:rsid w:val="00F718EC"/>
    <w:rsid w:val="00FA679A"/>
    <w:rsid w:val="00FC6012"/>
    <w:rsid w:val="00FD4CB3"/>
    <w:rsid w:val="00FD6C8D"/>
    <w:rsid w:val="00FD7FE4"/>
    <w:rsid w:val="00FE3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12719"/>
  <w15:chartTrackingRefBased/>
  <w15:docId w15:val="{62CF9F13-FF28-4769-A6BA-9E95B21C7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81AE5"/>
    <w:pPr>
      <w:spacing w:after="0" w:line="240" w:lineRule="auto"/>
    </w:pPr>
  </w:style>
  <w:style w:type="paragraph" w:styleId="Header">
    <w:name w:val="header"/>
    <w:basedOn w:val="Normal"/>
    <w:link w:val="HeaderChar"/>
    <w:uiPriority w:val="99"/>
    <w:unhideWhenUsed/>
    <w:rsid w:val="003740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04C"/>
  </w:style>
  <w:style w:type="paragraph" w:styleId="Footer">
    <w:name w:val="footer"/>
    <w:basedOn w:val="Normal"/>
    <w:link w:val="FooterChar"/>
    <w:uiPriority w:val="99"/>
    <w:unhideWhenUsed/>
    <w:rsid w:val="003740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04C"/>
  </w:style>
  <w:style w:type="paragraph" w:styleId="FootnoteText">
    <w:name w:val="footnote text"/>
    <w:basedOn w:val="Normal"/>
    <w:link w:val="FootnoteTextChar"/>
    <w:uiPriority w:val="99"/>
    <w:semiHidden/>
    <w:unhideWhenUsed/>
    <w:rsid w:val="003740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04C"/>
    <w:rPr>
      <w:sz w:val="20"/>
      <w:szCs w:val="20"/>
    </w:rPr>
  </w:style>
  <w:style w:type="character" w:styleId="FootnoteReference">
    <w:name w:val="footnote reference"/>
    <w:basedOn w:val="DefaultParagraphFont"/>
    <w:uiPriority w:val="99"/>
    <w:semiHidden/>
    <w:unhideWhenUsed/>
    <w:rsid w:val="0037404C"/>
    <w:rPr>
      <w:vertAlign w:val="superscript"/>
    </w:rPr>
  </w:style>
  <w:style w:type="character" w:styleId="Hyperlink">
    <w:name w:val="Hyperlink"/>
    <w:basedOn w:val="DefaultParagraphFont"/>
    <w:uiPriority w:val="99"/>
    <w:unhideWhenUsed/>
    <w:rsid w:val="004B2978"/>
    <w:rPr>
      <w:color w:val="0563C1" w:themeColor="hyperlink"/>
      <w:u w:val="single"/>
    </w:rPr>
  </w:style>
  <w:style w:type="character" w:styleId="UnresolvedMention">
    <w:name w:val="Unresolved Mention"/>
    <w:basedOn w:val="DefaultParagraphFont"/>
    <w:uiPriority w:val="99"/>
    <w:semiHidden/>
    <w:unhideWhenUsed/>
    <w:rsid w:val="004B2978"/>
    <w:rPr>
      <w:color w:val="605E5C"/>
      <w:shd w:val="clear" w:color="auto" w:fill="E1DFDD"/>
    </w:rPr>
  </w:style>
  <w:style w:type="character" w:styleId="FollowedHyperlink">
    <w:name w:val="FollowedHyperlink"/>
    <w:basedOn w:val="DefaultParagraphFont"/>
    <w:uiPriority w:val="99"/>
    <w:semiHidden/>
    <w:unhideWhenUsed/>
    <w:rsid w:val="007E1B5F"/>
    <w:rPr>
      <w:color w:val="954F72" w:themeColor="followedHyperlink"/>
      <w:u w:val="single"/>
    </w:rPr>
  </w:style>
  <w:style w:type="character" w:styleId="CommentReference">
    <w:name w:val="annotation reference"/>
    <w:basedOn w:val="DefaultParagraphFont"/>
    <w:uiPriority w:val="99"/>
    <w:semiHidden/>
    <w:unhideWhenUsed/>
    <w:rsid w:val="005A1144"/>
    <w:rPr>
      <w:sz w:val="16"/>
      <w:szCs w:val="16"/>
    </w:rPr>
  </w:style>
  <w:style w:type="paragraph" w:styleId="CommentText">
    <w:name w:val="annotation text"/>
    <w:basedOn w:val="Normal"/>
    <w:link w:val="CommentTextChar"/>
    <w:uiPriority w:val="99"/>
    <w:semiHidden/>
    <w:unhideWhenUsed/>
    <w:rsid w:val="005A1144"/>
    <w:pPr>
      <w:spacing w:line="240" w:lineRule="auto"/>
    </w:pPr>
    <w:rPr>
      <w:sz w:val="20"/>
      <w:szCs w:val="20"/>
    </w:rPr>
  </w:style>
  <w:style w:type="character" w:customStyle="1" w:styleId="CommentTextChar">
    <w:name w:val="Comment Text Char"/>
    <w:basedOn w:val="DefaultParagraphFont"/>
    <w:link w:val="CommentText"/>
    <w:uiPriority w:val="99"/>
    <w:semiHidden/>
    <w:rsid w:val="005A1144"/>
    <w:rPr>
      <w:sz w:val="20"/>
      <w:szCs w:val="20"/>
    </w:rPr>
  </w:style>
  <w:style w:type="paragraph" w:styleId="CommentSubject">
    <w:name w:val="annotation subject"/>
    <w:basedOn w:val="CommentText"/>
    <w:next w:val="CommentText"/>
    <w:link w:val="CommentSubjectChar"/>
    <w:uiPriority w:val="99"/>
    <w:semiHidden/>
    <w:unhideWhenUsed/>
    <w:rsid w:val="005A1144"/>
    <w:rPr>
      <w:b/>
      <w:bCs/>
    </w:rPr>
  </w:style>
  <w:style w:type="character" w:customStyle="1" w:styleId="CommentSubjectChar">
    <w:name w:val="Comment Subject Char"/>
    <w:basedOn w:val="CommentTextChar"/>
    <w:link w:val="CommentSubject"/>
    <w:uiPriority w:val="99"/>
    <w:semiHidden/>
    <w:rsid w:val="005A1144"/>
    <w:rPr>
      <w:b/>
      <w:bCs/>
      <w:sz w:val="20"/>
      <w:szCs w:val="20"/>
    </w:rPr>
  </w:style>
  <w:style w:type="paragraph" w:styleId="BalloonText">
    <w:name w:val="Balloon Text"/>
    <w:basedOn w:val="Normal"/>
    <w:link w:val="BalloonTextChar"/>
    <w:uiPriority w:val="99"/>
    <w:semiHidden/>
    <w:unhideWhenUsed/>
    <w:rsid w:val="005A114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A114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4A263-95C1-264C-AB38-36427A62B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6</Pages>
  <Words>1490</Words>
  <Characters>8499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Negheen Sanjar</dc:creator>
  <cp:keywords/>
  <dc:description/>
  <cp:lastModifiedBy>Negheen Sanjar</cp:lastModifiedBy>
  <cp:revision>179</cp:revision>
  <dcterms:created xsi:type="dcterms:W3CDTF">2018-11-08T15:11:00Z</dcterms:created>
  <dcterms:modified xsi:type="dcterms:W3CDTF">2018-11-13T23:49:00Z</dcterms:modified>
</cp:coreProperties>
</file>