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CF" w:rsidRPr="008052CB" w:rsidRDefault="00273CCF" w:rsidP="00273CCF">
      <w:pPr>
        <w:pStyle w:val="Heading1"/>
        <w:jc w:val="center"/>
        <w:rPr>
          <w:szCs w:val="24"/>
          <w:u w:val="none"/>
        </w:rPr>
      </w:pPr>
      <w:r w:rsidRPr="008052CB">
        <w:rPr>
          <w:szCs w:val="24"/>
          <w:u w:val="none"/>
        </w:rPr>
        <w:t>UNITED STATES OF AMERICA</w:t>
      </w:r>
    </w:p>
    <w:p w:rsidR="00273CCF" w:rsidRPr="008052CB" w:rsidRDefault="00273CCF" w:rsidP="00273CCF">
      <w:pPr>
        <w:jc w:val="center"/>
      </w:pPr>
    </w:p>
    <w:p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rsidR="00273CCF" w:rsidRPr="00241F98" w:rsidRDefault="00273CCF" w:rsidP="00273CCF"/>
    <w:p w:rsidR="00273CCF" w:rsidRDefault="00273CCF" w:rsidP="00273CCF">
      <w:pPr>
        <w:rPr>
          <w:bCs/>
        </w:rPr>
      </w:pPr>
      <w:r>
        <w:rPr>
          <w:b/>
          <w:bCs/>
        </w:rPr>
        <w:t>AGENDA ITEM</w:t>
      </w:r>
      <w:r w:rsidRPr="00241F98">
        <w:rPr>
          <w:b/>
          <w:bCs/>
        </w:rPr>
        <w:t xml:space="preserve"> </w:t>
      </w:r>
      <w:r w:rsidR="00657A01">
        <w:rPr>
          <w:b/>
          <w:bCs/>
        </w:rPr>
        <w:t>10</w:t>
      </w:r>
      <w:r w:rsidRPr="00241F98">
        <w:rPr>
          <w:bCs/>
        </w:rPr>
        <w:t>:</w:t>
      </w:r>
      <w:r w:rsidRPr="000B186B">
        <w:rPr>
          <w:bCs/>
        </w:rPr>
        <w:t xml:space="preserve"> </w:t>
      </w:r>
      <w:r w:rsidR="00657A01" w:rsidRPr="003265E7">
        <w:rPr>
          <w:bCs/>
          <w:i/>
        </w:rPr>
        <w:t>to recommend to the Council items for inclusion in the agenda for the next WRC, and to give its views on the preliminary agenda for the subsequent conference and on possible agenda items for future conferences, in accordance with Article 7 of the Convention;</w:t>
      </w:r>
    </w:p>
    <w:p w:rsidR="00657A01" w:rsidRPr="00B40899" w:rsidRDefault="00657A01" w:rsidP="00273CCF">
      <w:pPr>
        <w:rPr>
          <w:bCs/>
        </w:rPr>
      </w:pPr>
    </w:p>
    <w:p w:rsidR="00E11F4B" w:rsidRDefault="00273CCF" w:rsidP="00273CCF">
      <w:r w:rsidRPr="00241F98">
        <w:rPr>
          <w:b/>
          <w:bCs/>
        </w:rPr>
        <w:t>BACKGROUND</w:t>
      </w:r>
      <w:r w:rsidR="00E11F4B">
        <w:rPr>
          <w:b/>
          <w:bCs/>
        </w:rPr>
        <w:t xml:space="preserve"> INFORMATION</w:t>
      </w:r>
      <w:r w:rsidRPr="00241F98">
        <w:t xml:space="preserve">: </w:t>
      </w:r>
    </w:p>
    <w:p w:rsidR="00E11F4B" w:rsidRDefault="00E11F4B" w:rsidP="00273CCF"/>
    <w:p w:rsidR="00657A01"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eastAsia="zh-CN"/>
        </w:rPr>
      </w:pPr>
      <w:r w:rsidRPr="00344EE5">
        <w:rPr>
          <w:szCs w:val="24"/>
        </w:rPr>
        <w:t>Article</w:t>
      </w:r>
      <w:r w:rsidRPr="00344EE5">
        <w:rPr>
          <w:szCs w:val="24"/>
          <w:lang w:eastAsia="zh-CN"/>
        </w:rPr>
        <w:t xml:space="preserve"> </w:t>
      </w:r>
      <w:r w:rsidR="00657A01">
        <w:rPr>
          <w:b/>
          <w:szCs w:val="24"/>
          <w:lang w:eastAsia="zh-CN"/>
        </w:rPr>
        <w:t>1.22</w:t>
      </w:r>
      <w:r w:rsidR="00657A01" w:rsidRPr="00344EE5">
        <w:rPr>
          <w:szCs w:val="24"/>
          <w:lang w:eastAsia="zh-CN"/>
        </w:rPr>
        <w:t xml:space="preserve"> </w:t>
      </w:r>
      <w:r w:rsidRPr="00344EE5">
        <w:rPr>
          <w:szCs w:val="24"/>
          <w:lang w:eastAsia="zh-CN"/>
        </w:rPr>
        <w:t xml:space="preserve">of the Radio Regulations </w:t>
      </w:r>
      <w:r w:rsidR="00657A01">
        <w:rPr>
          <w:szCs w:val="24"/>
          <w:lang w:eastAsia="zh-CN"/>
        </w:rPr>
        <w:t xml:space="preserve">defines </w:t>
      </w:r>
      <w:r w:rsidR="00657A01">
        <w:rPr>
          <w:i/>
          <w:szCs w:val="24"/>
          <w:lang w:eastAsia="zh-CN"/>
        </w:rPr>
        <w:t>fixed-satellite service</w:t>
      </w:r>
      <w:r w:rsidR="00657A01">
        <w:rPr>
          <w:szCs w:val="24"/>
          <w:lang w:eastAsia="zh-CN"/>
        </w:rPr>
        <w:t xml:space="preserve"> </w:t>
      </w:r>
      <w:r w:rsidR="000B2C92">
        <w:rPr>
          <w:szCs w:val="24"/>
          <w:lang w:eastAsia="zh-CN"/>
        </w:rPr>
        <w:t xml:space="preserve">(FSS) </w:t>
      </w:r>
      <w:r w:rsidR="00657A01">
        <w:rPr>
          <w:szCs w:val="24"/>
          <w:lang w:eastAsia="zh-CN"/>
        </w:rPr>
        <w:t>as follows:</w:t>
      </w:r>
    </w:p>
    <w:p w:rsidR="00657A01" w:rsidRDefault="00657A01" w:rsidP="00344EE5">
      <w:pPr>
        <w:tabs>
          <w:tab w:val="left" w:pos="1134"/>
          <w:tab w:val="left" w:pos="1871"/>
          <w:tab w:val="left" w:pos="2268"/>
        </w:tabs>
        <w:overflowPunct w:val="0"/>
        <w:autoSpaceDE w:val="0"/>
        <w:autoSpaceDN w:val="0"/>
        <w:adjustRightInd w:val="0"/>
        <w:spacing w:before="120"/>
        <w:jc w:val="both"/>
        <w:textAlignment w:val="baseline"/>
        <w:rPr>
          <w:szCs w:val="24"/>
          <w:lang w:eastAsia="zh-CN"/>
        </w:rPr>
      </w:pPr>
    </w:p>
    <w:p w:rsidR="00344EE5" w:rsidRPr="00344EE5" w:rsidRDefault="00830969" w:rsidP="007E349D">
      <w:pPr>
        <w:tabs>
          <w:tab w:val="left" w:pos="1134"/>
          <w:tab w:val="left" w:pos="1871"/>
          <w:tab w:val="left" w:pos="2268"/>
        </w:tabs>
        <w:overflowPunct w:val="0"/>
        <w:autoSpaceDE w:val="0"/>
        <w:autoSpaceDN w:val="0"/>
        <w:adjustRightInd w:val="0"/>
        <w:spacing w:before="120"/>
        <w:ind w:left="720" w:right="720"/>
        <w:jc w:val="both"/>
        <w:textAlignment w:val="baseline"/>
        <w:rPr>
          <w:szCs w:val="24"/>
          <w:lang w:val="en-GB"/>
        </w:rPr>
      </w:pPr>
      <w:r>
        <w:rPr>
          <w:szCs w:val="24"/>
          <w:lang w:eastAsia="zh-CN"/>
        </w:rPr>
        <w:t xml:space="preserve">A </w:t>
      </w:r>
      <w:proofErr w:type="spellStart"/>
      <w:r>
        <w:rPr>
          <w:i/>
          <w:szCs w:val="24"/>
          <w:lang w:eastAsia="zh-CN"/>
        </w:rPr>
        <w:t>radiocommunication</w:t>
      </w:r>
      <w:proofErr w:type="spellEnd"/>
      <w:r>
        <w:rPr>
          <w:i/>
          <w:szCs w:val="24"/>
          <w:lang w:eastAsia="zh-CN"/>
        </w:rPr>
        <w:t xml:space="preserve"> service</w:t>
      </w:r>
      <w:r>
        <w:rPr>
          <w:szCs w:val="24"/>
          <w:lang w:eastAsia="zh-CN"/>
        </w:rPr>
        <w:t xml:space="preserve"> between </w:t>
      </w:r>
      <w:r>
        <w:rPr>
          <w:i/>
          <w:szCs w:val="24"/>
          <w:lang w:eastAsia="zh-CN"/>
        </w:rPr>
        <w:t>earth stations</w:t>
      </w:r>
      <w:r>
        <w:rPr>
          <w:szCs w:val="24"/>
          <w:lang w:eastAsia="zh-CN"/>
        </w:rPr>
        <w:t xml:space="preserve"> at given positions, when one or more </w:t>
      </w:r>
      <w:r>
        <w:rPr>
          <w:i/>
          <w:szCs w:val="24"/>
          <w:lang w:eastAsia="zh-CN"/>
        </w:rPr>
        <w:t>satellites</w:t>
      </w:r>
      <w:r>
        <w:rPr>
          <w:szCs w:val="24"/>
          <w:lang w:eastAsia="zh-CN"/>
        </w:rPr>
        <w:t xml:space="preserve"> are used; the given position may be a specified fixed point or any fixed point within specified areas; in some cases this service includes satellite-to-satellite links, which may also be operated in the </w:t>
      </w:r>
      <w:r>
        <w:rPr>
          <w:i/>
          <w:szCs w:val="24"/>
          <w:lang w:eastAsia="zh-CN"/>
        </w:rPr>
        <w:t>inter-satellite service</w:t>
      </w:r>
      <w:r>
        <w:rPr>
          <w:szCs w:val="24"/>
          <w:lang w:eastAsia="zh-CN"/>
        </w:rPr>
        <w:t xml:space="preserve">; the fixed-satellite service may also include </w:t>
      </w:r>
      <w:r>
        <w:rPr>
          <w:i/>
          <w:szCs w:val="24"/>
          <w:lang w:eastAsia="zh-CN"/>
        </w:rPr>
        <w:t>feeder links</w:t>
      </w:r>
      <w:r>
        <w:rPr>
          <w:szCs w:val="24"/>
          <w:lang w:eastAsia="zh-CN"/>
        </w:rPr>
        <w:t xml:space="preserve"> for other </w:t>
      </w:r>
      <w:r>
        <w:rPr>
          <w:i/>
          <w:szCs w:val="24"/>
          <w:lang w:eastAsia="zh-CN"/>
        </w:rPr>
        <w:t xml:space="preserve">space </w:t>
      </w:r>
      <w:proofErr w:type="spellStart"/>
      <w:r>
        <w:rPr>
          <w:i/>
          <w:szCs w:val="24"/>
          <w:lang w:eastAsia="zh-CN"/>
        </w:rPr>
        <w:t>radiocommunication</w:t>
      </w:r>
      <w:proofErr w:type="spellEnd"/>
      <w:r>
        <w:rPr>
          <w:i/>
          <w:szCs w:val="24"/>
          <w:lang w:eastAsia="zh-CN"/>
        </w:rPr>
        <w:t xml:space="preserve"> services</w:t>
      </w:r>
      <w:r w:rsidR="00344EE5" w:rsidRPr="00344EE5">
        <w:rPr>
          <w:szCs w:val="24"/>
          <w:lang w:val="en-GB"/>
        </w:rPr>
        <w:t xml:space="preserve">. </w:t>
      </w:r>
    </w:p>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p>
    <w:p w:rsidR="000B2C92" w:rsidRDefault="00830969" w:rsidP="00344EE5">
      <w:pPr>
        <w:jc w:val="both"/>
        <w:rPr>
          <w:bCs/>
          <w:szCs w:val="24"/>
        </w:rPr>
      </w:pPr>
      <w:r>
        <w:rPr>
          <w:szCs w:val="24"/>
          <w:lang w:val="en-GB"/>
        </w:rPr>
        <w:t xml:space="preserve">The “some cases” in which satellite-to-satellite links are included in the </w:t>
      </w:r>
      <w:r w:rsidR="000B2C92">
        <w:rPr>
          <w:szCs w:val="24"/>
          <w:lang w:val="en-GB"/>
        </w:rPr>
        <w:t xml:space="preserve">FSS </w:t>
      </w:r>
      <w:r>
        <w:rPr>
          <w:szCs w:val="24"/>
          <w:lang w:val="en-GB"/>
        </w:rPr>
        <w:t>are not defined</w:t>
      </w:r>
      <w:r w:rsidR="00F66D32">
        <w:rPr>
          <w:bCs/>
          <w:szCs w:val="24"/>
        </w:rPr>
        <w:t>.</w:t>
      </w:r>
      <w:r w:rsidR="00344EE5" w:rsidRPr="00344EE5">
        <w:rPr>
          <w:bCs/>
          <w:szCs w:val="24"/>
        </w:rPr>
        <w:t xml:space="preserve"> </w:t>
      </w:r>
      <w:r w:rsidR="000B2C92">
        <w:rPr>
          <w:bCs/>
          <w:szCs w:val="24"/>
        </w:rPr>
        <w:t xml:space="preserve">Further, while several allocations to the FSS are designated in the Table of Allocations for “space-to-Earth” or “Earth-to-space” transmissions, none are designated for “space-to-space” transmissions. </w:t>
      </w:r>
    </w:p>
    <w:p w:rsidR="000B2C92" w:rsidRDefault="000B2C92" w:rsidP="00344EE5">
      <w:pPr>
        <w:jc w:val="both"/>
        <w:rPr>
          <w:bCs/>
          <w:szCs w:val="24"/>
        </w:rPr>
      </w:pPr>
    </w:p>
    <w:p w:rsidR="00C2762B" w:rsidRDefault="00690A88" w:rsidP="00344EE5">
      <w:pPr>
        <w:jc w:val="both"/>
        <w:rPr>
          <w:bCs/>
          <w:szCs w:val="24"/>
        </w:rPr>
      </w:pPr>
      <w:r>
        <w:rPr>
          <w:bCs/>
          <w:szCs w:val="24"/>
        </w:rPr>
        <w:t xml:space="preserve">Because frequency bands allocated to the fixed-satellite service are </w:t>
      </w:r>
      <w:r w:rsidR="000B03A9">
        <w:rPr>
          <w:bCs/>
          <w:szCs w:val="24"/>
        </w:rPr>
        <w:t xml:space="preserve">used for links between space stations and earth stations, it is necessary to analyze the use of the same bands for satellite-to-satellite links to ensure compatibility and avoid harmful interference. The sharing scenario is likely to differ as the orbital characteristics of the </w:t>
      </w:r>
      <w:r w:rsidR="001C4C79">
        <w:rPr>
          <w:bCs/>
          <w:szCs w:val="24"/>
        </w:rPr>
        <w:t xml:space="preserve">linked </w:t>
      </w:r>
      <w:r w:rsidR="000B03A9">
        <w:rPr>
          <w:bCs/>
          <w:szCs w:val="24"/>
        </w:rPr>
        <w:t>satellite</w:t>
      </w:r>
      <w:r w:rsidR="001C4C79">
        <w:rPr>
          <w:bCs/>
          <w:szCs w:val="24"/>
        </w:rPr>
        <w:t>s</w:t>
      </w:r>
      <w:r w:rsidR="000B03A9">
        <w:rPr>
          <w:bCs/>
          <w:szCs w:val="24"/>
        </w:rPr>
        <w:t xml:space="preserve"> vary; links between satellites in geostationary orbit (GSO) will differ in geometry and impact when compared to links between links between satellites in non-geostationary orbit (NGSO), or links between a satellite in </w:t>
      </w:r>
      <w:r w:rsidR="00711531">
        <w:rPr>
          <w:bCs/>
          <w:szCs w:val="24"/>
        </w:rPr>
        <w:t>N</w:t>
      </w:r>
      <w:r w:rsidR="000B03A9">
        <w:rPr>
          <w:bCs/>
          <w:szCs w:val="24"/>
        </w:rPr>
        <w:t>GSO and a satellite in GSO.</w:t>
      </w:r>
    </w:p>
    <w:p w:rsidR="000B03A9" w:rsidRDefault="000B03A9" w:rsidP="00344EE5">
      <w:pPr>
        <w:jc w:val="both"/>
        <w:rPr>
          <w:bCs/>
          <w:szCs w:val="24"/>
        </w:rPr>
      </w:pPr>
    </w:p>
    <w:p w:rsidR="000B03A9" w:rsidRDefault="000B03A9" w:rsidP="00344EE5">
      <w:pPr>
        <w:jc w:val="both"/>
        <w:rPr>
          <w:szCs w:val="24"/>
        </w:rPr>
      </w:pPr>
      <w:r>
        <w:rPr>
          <w:bCs/>
          <w:szCs w:val="24"/>
        </w:rPr>
        <w:t xml:space="preserve">Preliminary ITU-R studies have identified factors to be considered in assessing the compatibility of </w:t>
      </w:r>
      <w:r w:rsidR="00711531">
        <w:rPr>
          <w:bCs/>
          <w:szCs w:val="24"/>
        </w:rPr>
        <w:t>N</w:t>
      </w:r>
      <w:r w:rsidR="00FD31A2">
        <w:rPr>
          <w:bCs/>
          <w:szCs w:val="24"/>
        </w:rPr>
        <w:t xml:space="preserve">GSO </w:t>
      </w:r>
      <w:r>
        <w:rPr>
          <w:bCs/>
          <w:szCs w:val="24"/>
        </w:rPr>
        <w:t>satellite-to-</w:t>
      </w:r>
      <w:r w:rsidR="00FD31A2">
        <w:rPr>
          <w:bCs/>
          <w:szCs w:val="24"/>
        </w:rPr>
        <w:t xml:space="preserve">GSO </w:t>
      </w:r>
      <w:r>
        <w:rPr>
          <w:bCs/>
          <w:szCs w:val="24"/>
        </w:rPr>
        <w:t xml:space="preserve">satellite links </w:t>
      </w:r>
      <w:r w:rsidR="00FD31A2">
        <w:rPr>
          <w:bCs/>
          <w:szCs w:val="24"/>
        </w:rPr>
        <w:t xml:space="preserve">with </w:t>
      </w:r>
      <w:r w:rsidR="00711531">
        <w:rPr>
          <w:bCs/>
          <w:szCs w:val="24"/>
        </w:rPr>
        <w:t>other operations in the 27.5</w:t>
      </w:r>
      <w:r w:rsidR="00E43370">
        <w:rPr>
          <w:bCs/>
          <w:szCs w:val="24"/>
        </w:rPr>
        <w:t xml:space="preserve"> – </w:t>
      </w:r>
      <w:r w:rsidR="00711531">
        <w:rPr>
          <w:bCs/>
          <w:szCs w:val="24"/>
        </w:rPr>
        <w:t xml:space="preserve">30 GHz </w:t>
      </w:r>
      <w:r w:rsidR="000B2C92">
        <w:rPr>
          <w:bCs/>
          <w:szCs w:val="24"/>
        </w:rPr>
        <w:t xml:space="preserve">FSS </w:t>
      </w:r>
      <w:r w:rsidR="00FD31A2">
        <w:rPr>
          <w:bCs/>
          <w:szCs w:val="24"/>
        </w:rPr>
        <w:t>allocation. These studies should be further developed</w:t>
      </w:r>
      <w:r w:rsidR="00E43370">
        <w:rPr>
          <w:bCs/>
          <w:szCs w:val="24"/>
        </w:rPr>
        <w:t xml:space="preserve"> to include </w:t>
      </w:r>
      <w:r w:rsidR="00FD31A2">
        <w:rPr>
          <w:bCs/>
          <w:szCs w:val="24"/>
        </w:rPr>
        <w:t xml:space="preserve">the cases of GSO-to-GSO and NGSO-to-NGSO satellite links. </w:t>
      </w:r>
      <w:r w:rsidR="00CB6EA2">
        <w:rPr>
          <w:bCs/>
          <w:szCs w:val="24"/>
        </w:rPr>
        <w:t>Continued</w:t>
      </w:r>
      <w:r w:rsidR="00E43370">
        <w:rPr>
          <w:bCs/>
          <w:szCs w:val="24"/>
        </w:rPr>
        <w:t xml:space="preserve"> de</w:t>
      </w:r>
      <w:r w:rsidR="00CB6EA2">
        <w:rPr>
          <w:bCs/>
          <w:szCs w:val="24"/>
        </w:rPr>
        <w:t>v</w:t>
      </w:r>
      <w:r w:rsidR="00E43370">
        <w:rPr>
          <w:bCs/>
          <w:szCs w:val="24"/>
        </w:rPr>
        <w:t>elopment and c</w:t>
      </w:r>
      <w:r w:rsidR="00FD31A2">
        <w:rPr>
          <w:bCs/>
          <w:szCs w:val="24"/>
        </w:rPr>
        <w:t>ompletion of these studies will permit the development of appropriate ITU-R regulatory text to define the cases in which satellite-to-satellite links may be included within the fixed-satellite service, as opposed to the inter-satellite service.</w:t>
      </w:r>
    </w:p>
    <w:p w:rsidR="00214443" w:rsidRDefault="00214443" w:rsidP="00344EE5">
      <w:pPr>
        <w:jc w:val="both"/>
        <w:rPr>
          <w:szCs w:val="24"/>
        </w:rPr>
      </w:pPr>
    </w:p>
    <w:p w:rsidR="00344EE5" w:rsidRPr="00344EE5" w:rsidRDefault="00344EE5" w:rsidP="00344EE5">
      <w:pPr>
        <w:jc w:val="both"/>
        <w:rPr>
          <w:szCs w:val="24"/>
        </w:rPr>
      </w:pPr>
      <w:r w:rsidRPr="00344EE5">
        <w:rPr>
          <w:szCs w:val="24"/>
        </w:rPr>
        <w:br w:type="page"/>
      </w:r>
    </w:p>
    <w:p w:rsidR="00344EE5" w:rsidRPr="00344EE5" w:rsidRDefault="00344EE5" w:rsidP="00344EE5">
      <w:pPr>
        <w:jc w:val="both"/>
        <w:rPr>
          <w:szCs w:val="24"/>
        </w:rPr>
      </w:pPr>
    </w:p>
    <w:p w:rsidR="00344EE5" w:rsidRDefault="00344EE5" w:rsidP="00344EE5">
      <w:pPr>
        <w:autoSpaceDE w:val="0"/>
        <w:autoSpaceDN w:val="0"/>
        <w:adjustRightInd w:val="0"/>
        <w:rPr>
          <w:b/>
          <w:szCs w:val="24"/>
          <w:lang w:eastAsia="x-none"/>
        </w:rPr>
      </w:pPr>
      <w:r w:rsidRPr="00111421">
        <w:rPr>
          <w:b/>
          <w:szCs w:val="24"/>
          <w:lang w:eastAsia="x-none"/>
        </w:rPr>
        <w:t>Proposal</w:t>
      </w:r>
      <w:r w:rsidR="00502C21">
        <w:rPr>
          <w:b/>
          <w:szCs w:val="24"/>
          <w:lang w:eastAsia="x-none"/>
        </w:rPr>
        <w:t>s</w:t>
      </w:r>
      <w:r w:rsidRPr="00111421">
        <w:rPr>
          <w:b/>
          <w:szCs w:val="24"/>
          <w:lang w:eastAsia="x-none"/>
        </w:rPr>
        <w:t>:</w:t>
      </w:r>
    </w:p>
    <w:p w:rsidR="00D96C0F" w:rsidRDefault="00D96C0F" w:rsidP="00344EE5">
      <w:pPr>
        <w:autoSpaceDE w:val="0"/>
        <w:autoSpaceDN w:val="0"/>
        <w:adjustRightInd w:val="0"/>
        <w:rPr>
          <w:b/>
          <w:szCs w:val="24"/>
          <w:lang w:eastAsia="x-none"/>
        </w:rPr>
      </w:pPr>
    </w:p>
    <w:p w:rsidR="00D96C0F" w:rsidRDefault="00D96C0F" w:rsidP="00344EE5">
      <w:pPr>
        <w:autoSpaceDE w:val="0"/>
        <w:autoSpaceDN w:val="0"/>
        <w:adjustRightInd w:val="0"/>
        <w:rPr>
          <w:b/>
          <w:szCs w:val="24"/>
          <w:lang w:eastAsia="x-none"/>
        </w:rPr>
      </w:pPr>
    </w:p>
    <w:p w:rsidR="002B33E6" w:rsidRPr="00606072" w:rsidRDefault="002B33E6" w:rsidP="003265E7">
      <w:pPr>
        <w:autoSpaceDE w:val="0"/>
        <w:autoSpaceDN w:val="0"/>
        <w:adjustRightInd w:val="0"/>
        <w:jc w:val="center"/>
        <w:rPr>
          <w:b/>
        </w:rPr>
      </w:pPr>
    </w:p>
    <w:p w:rsidR="00344EE5" w:rsidRDefault="00606072" w:rsidP="00273CCF">
      <w:pPr>
        <w:rPr>
          <w:b/>
        </w:rPr>
      </w:pPr>
      <w:r w:rsidRPr="003265E7">
        <w:rPr>
          <w:b/>
        </w:rPr>
        <w:t>MOD</w:t>
      </w:r>
      <w:r w:rsidRPr="00606072">
        <w:rPr>
          <w:b/>
        </w:rPr>
        <w:tab/>
      </w:r>
      <w:r w:rsidRPr="00606072">
        <w:rPr>
          <w:b/>
        </w:rPr>
        <w:tab/>
        <w:t>USA/</w:t>
      </w:r>
      <w:r w:rsidR="000F17D8">
        <w:rPr>
          <w:b/>
        </w:rPr>
        <w:t>10</w:t>
      </w:r>
      <w:proofErr w:type="gramStart"/>
      <w:r w:rsidRPr="00606072">
        <w:rPr>
          <w:b/>
        </w:rPr>
        <w:t>/</w:t>
      </w:r>
      <w:r w:rsidR="000F17D8">
        <w:rPr>
          <w:b/>
        </w:rPr>
        <w:t>[</w:t>
      </w:r>
      <w:proofErr w:type="gramEnd"/>
      <w:r w:rsidR="000F17D8">
        <w:rPr>
          <w:b/>
        </w:rPr>
        <w:t>SAT-TO-SAT-</w:t>
      </w:r>
      <w:r w:rsidRPr="00606072">
        <w:rPr>
          <w:b/>
        </w:rPr>
        <w:t>1</w:t>
      </w:r>
      <w:r w:rsidR="000F17D8">
        <w:rPr>
          <w:b/>
        </w:rPr>
        <w:t>]</w:t>
      </w:r>
    </w:p>
    <w:p w:rsidR="000F17D8" w:rsidRDefault="000F17D8" w:rsidP="00273CCF">
      <w:pPr>
        <w:rPr>
          <w:b/>
        </w:rPr>
      </w:pPr>
    </w:p>
    <w:p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rPr>
          <w:rFonts w:eastAsia="Times New Roman"/>
          <w:bCs/>
          <w:sz w:val="28"/>
          <w:szCs w:val="28"/>
          <w:lang w:val="en-GB"/>
        </w:rPr>
      </w:pPr>
      <w:r w:rsidRPr="00FD31A2">
        <w:rPr>
          <w:rFonts w:eastAsia="Times New Roman"/>
          <w:bCs/>
          <w:sz w:val="28"/>
          <w:szCs w:val="28"/>
          <w:lang w:val="en-GB"/>
        </w:rPr>
        <w:t xml:space="preserve">RESOLUTION </w:t>
      </w:r>
      <w:proofErr w:type="gramStart"/>
      <w:r w:rsidRPr="00FD31A2">
        <w:rPr>
          <w:rFonts w:eastAsia="Times New Roman"/>
          <w:bCs/>
          <w:sz w:val="28"/>
          <w:szCs w:val="28"/>
          <w:lang w:val="en-GB"/>
        </w:rPr>
        <w:t>810  (</w:t>
      </w:r>
      <w:proofErr w:type="gramEnd"/>
      <w:r w:rsidRPr="00FD31A2">
        <w:rPr>
          <w:rFonts w:eastAsia="Times New Roman"/>
          <w:bCs/>
          <w:sz w:val="28"/>
          <w:szCs w:val="28"/>
          <w:lang w:val="en-GB"/>
        </w:rPr>
        <w:t>WRC</w:t>
      </w:r>
      <w:r w:rsidRPr="00FD31A2">
        <w:rPr>
          <w:rFonts w:eastAsia="Times New Roman"/>
          <w:bCs/>
          <w:sz w:val="28"/>
          <w:szCs w:val="28"/>
          <w:lang w:val="en-GB"/>
        </w:rPr>
        <w:noBreakHyphen/>
      </w:r>
      <w:r w:rsidR="006A5F84" w:rsidRPr="00FD31A2">
        <w:rPr>
          <w:rFonts w:eastAsia="Times New Roman"/>
          <w:bCs/>
          <w:sz w:val="28"/>
          <w:szCs w:val="28"/>
          <w:lang w:val="en-GB"/>
        </w:rPr>
        <w:t>1</w:t>
      </w:r>
      <w:r w:rsidR="006A5F84">
        <w:rPr>
          <w:rFonts w:eastAsia="Times New Roman"/>
          <w:bCs/>
          <w:sz w:val="28"/>
          <w:szCs w:val="28"/>
          <w:lang w:val="en-GB"/>
        </w:rPr>
        <w:t>9</w:t>
      </w:r>
      <w:r w:rsidRPr="00FD31A2">
        <w:rPr>
          <w:rFonts w:eastAsia="Times New Roman"/>
          <w:bCs/>
          <w:sz w:val="28"/>
          <w:szCs w:val="28"/>
          <w:lang w:val="en-GB"/>
        </w:rPr>
        <w:t>)</w:t>
      </w:r>
    </w:p>
    <w:p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rPr>
          <w:rFonts w:eastAsia="Times New Roman"/>
          <w:sz w:val="2"/>
          <w:szCs w:val="20"/>
          <w:lang w:val="en-GB"/>
        </w:rPr>
      </w:pPr>
    </w:p>
    <w:p w:rsidR="00FD31A2" w:rsidRPr="00FD31A2" w:rsidRDefault="00FD31A2" w:rsidP="00FD31A2">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lang w:val="en-GB"/>
        </w:rPr>
      </w:pPr>
      <w:r>
        <w:rPr>
          <w:rFonts w:ascii="Times New Roman Bold" w:eastAsiaTheme="minorHAnsi" w:hAnsi="Times New Roman Bold" w:cs="Times New Roman Bold"/>
          <w:b/>
          <w:sz w:val="28"/>
          <w:lang w:val="en-GB"/>
        </w:rPr>
        <w:t>A</w:t>
      </w:r>
      <w:r w:rsidRPr="00FD31A2">
        <w:rPr>
          <w:rFonts w:ascii="Times New Roman Bold" w:eastAsiaTheme="minorHAnsi" w:hAnsi="Times New Roman Bold" w:cs="Times New Roman Bold"/>
          <w:b/>
          <w:sz w:val="28"/>
          <w:lang w:val="en-GB"/>
        </w:rPr>
        <w:t xml:space="preserve">genda for the 2023 World </w:t>
      </w:r>
      <w:proofErr w:type="spellStart"/>
      <w:r w:rsidRPr="00FD31A2">
        <w:rPr>
          <w:rFonts w:ascii="Times New Roman Bold" w:eastAsiaTheme="minorHAnsi" w:hAnsi="Times New Roman Bold" w:cs="Times New Roman Bold"/>
          <w:b/>
          <w:sz w:val="28"/>
          <w:lang w:val="en-GB"/>
        </w:rPr>
        <w:t>Radiocommunication</w:t>
      </w:r>
      <w:proofErr w:type="spellEnd"/>
      <w:r w:rsidRPr="00FD31A2">
        <w:rPr>
          <w:rFonts w:ascii="Times New Roman Bold" w:eastAsiaTheme="minorHAnsi" w:hAnsi="Times New Roman Bold" w:cs="Times New Roman Bold"/>
          <w:b/>
          <w:sz w:val="28"/>
          <w:lang w:val="en-GB"/>
        </w:rPr>
        <w:t xml:space="preserve"> Conference</w:t>
      </w:r>
    </w:p>
    <w:p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p>
    <w:p w:rsid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r w:rsidRPr="00FD31A2">
        <w:rPr>
          <w:rFonts w:eastAsia="Times New Roman"/>
          <w:color w:val="000000"/>
        </w:rPr>
        <w:t xml:space="preserve">The World </w:t>
      </w:r>
      <w:proofErr w:type="spellStart"/>
      <w:r w:rsidRPr="00FD31A2">
        <w:rPr>
          <w:rFonts w:eastAsia="Times New Roman"/>
          <w:color w:val="000000"/>
        </w:rPr>
        <w:t>Radiocommunication</w:t>
      </w:r>
      <w:proofErr w:type="spellEnd"/>
      <w:r w:rsidRPr="00FD31A2">
        <w:rPr>
          <w:rFonts w:eastAsia="Times New Roman"/>
          <w:color w:val="000000"/>
        </w:rPr>
        <w:t xml:space="preserve"> Conference (</w:t>
      </w:r>
      <w:proofErr w:type="spellStart"/>
      <w:r>
        <w:rPr>
          <w:rFonts w:eastAsia="Times New Roman"/>
          <w:color w:val="000000"/>
        </w:rPr>
        <w:t>Sharm</w:t>
      </w:r>
      <w:proofErr w:type="spellEnd"/>
      <w:r>
        <w:rPr>
          <w:rFonts w:eastAsia="Times New Roman"/>
          <w:color w:val="000000"/>
        </w:rPr>
        <w:t>-el-Sheikh</w:t>
      </w:r>
      <w:r w:rsidRPr="00FD31A2">
        <w:rPr>
          <w:rFonts w:eastAsia="Times New Roman"/>
          <w:color w:val="000000"/>
        </w:rPr>
        <w:t>, 201</w:t>
      </w:r>
      <w:r>
        <w:rPr>
          <w:rFonts w:eastAsia="Times New Roman"/>
          <w:color w:val="000000"/>
        </w:rPr>
        <w:t>9</w:t>
      </w:r>
      <w:r w:rsidRPr="00FD31A2">
        <w:rPr>
          <w:rFonts w:eastAsia="Times New Roman"/>
          <w:color w:val="000000"/>
        </w:rPr>
        <w:t xml:space="preserve">), </w:t>
      </w:r>
    </w:p>
    <w:p w:rsidR="00FD31A2" w:rsidRDefault="00FD31A2" w:rsidP="00FD31A2">
      <w:pPr>
        <w:tabs>
          <w:tab w:val="left" w:pos="720"/>
        </w:tabs>
        <w:spacing w:after="147" w:line="247" w:lineRule="auto"/>
        <w:jc w:val="both"/>
        <w:rPr>
          <w:color w:val="000000"/>
        </w:rPr>
      </w:pPr>
      <w:r>
        <w:rPr>
          <w:color w:val="000000"/>
        </w:rPr>
        <w:t>* * *</w:t>
      </w:r>
    </w:p>
    <w:p w:rsidR="00FD31A2" w:rsidRPr="00FD31A2" w:rsidRDefault="00FD31A2" w:rsidP="00FD31A2">
      <w:pPr>
        <w:keepNext/>
        <w:keepLines/>
        <w:tabs>
          <w:tab w:val="clear" w:pos="576"/>
          <w:tab w:val="clear" w:pos="792"/>
          <w:tab w:val="clear" w:pos="1008"/>
          <w:tab w:val="clear" w:pos="1224"/>
          <w:tab w:val="clear" w:pos="1440"/>
          <w:tab w:val="left" w:pos="720"/>
          <w:tab w:val="left" w:pos="1134"/>
          <w:tab w:val="left" w:pos="1871"/>
          <w:tab w:val="left" w:pos="2268"/>
        </w:tabs>
        <w:autoSpaceDN w:val="0"/>
        <w:spacing w:after="95" w:line="256" w:lineRule="auto"/>
        <w:ind w:left="1128" w:hanging="10"/>
        <w:outlineLvl w:val="0"/>
        <w:rPr>
          <w:rFonts w:eastAsia="Times New Roman"/>
          <w:i/>
          <w:color w:val="000000"/>
        </w:rPr>
      </w:pPr>
      <w:proofErr w:type="gramStart"/>
      <w:r w:rsidRPr="00FD31A2">
        <w:rPr>
          <w:rFonts w:eastAsia="Times New Roman"/>
          <w:i/>
          <w:color w:val="000000"/>
        </w:rPr>
        <w:t>resolves</w:t>
      </w:r>
      <w:proofErr w:type="gramEnd"/>
      <w:r w:rsidRPr="00FD31A2">
        <w:rPr>
          <w:rFonts w:eastAsia="Times New Roman"/>
          <w:i/>
          <w:color w:val="000000"/>
        </w:rPr>
        <w:t xml:space="preserve"> to give the view </w:t>
      </w:r>
    </w:p>
    <w:p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proofErr w:type="gramStart"/>
      <w:r w:rsidRPr="00FD31A2">
        <w:rPr>
          <w:rFonts w:eastAsia="Times New Roman"/>
          <w:color w:val="000000"/>
        </w:rPr>
        <w:t>that</w:t>
      </w:r>
      <w:proofErr w:type="gramEnd"/>
      <w:r w:rsidRPr="00FD31A2">
        <w:rPr>
          <w:rFonts w:eastAsia="Times New Roman"/>
          <w:color w:val="000000"/>
        </w:rPr>
        <w:t xml:space="preserve"> the following items should be included in the agenda for WRC-23: </w:t>
      </w:r>
    </w:p>
    <w:p w:rsidR="00FD31A2" w:rsidRPr="00FD31A2" w:rsidRDefault="00FD31A2" w:rsidP="00FD31A2">
      <w:pPr>
        <w:pStyle w:val="ListParagraph"/>
        <w:tabs>
          <w:tab w:val="left" w:pos="720"/>
        </w:tabs>
        <w:spacing w:after="147" w:line="247" w:lineRule="auto"/>
        <w:ind w:left="10"/>
        <w:jc w:val="both"/>
        <w:rPr>
          <w:color w:val="000000"/>
        </w:rPr>
      </w:pPr>
      <w:r w:rsidRPr="00FD31A2">
        <w:rPr>
          <w:color w:val="000000"/>
        </w:rPr>
        <w:t>* * *</w:t>
      </w:r>
    </w:p>
    <w:p w:rsidR="006E5027" w:rsidRPr="00FD31A2" w:rsidRDefault="006E5027" w:rsidP="006E5027">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Pr>
          <w:rFonts w:eastAsia="Times New Roman"/>
          <w:color w:val="000000"/>
        </w:rPr>
        <w:t>2</w:t>
      </w:r>
      <w:r>
        <w:rPr>
          <w:rFonts w:eastAsia="Times New Roman"/>
          <w:color w:val="000000"/>
        </w:rPr>
        <w:tab/>
      </w:r>
      <w:r w:rsidR="00FD31A2" w:rsidRPr="00FD31A2">
        <w:rPr>
          <w:rFonts w:eastAsia="Times New Roman"/>
          <w:color w:val="000000"/>
        </w:rPr>
        <w:t xml:space="preserve">on the basis of proposals from administrations and the Report of the Conference Preparatory Meeting, and taking account of the results of WRC-19, to consider and take appropriate action in respect of the following items: </w:t>
      </w:r>
    </w:p>
    <w:p w:rsidR="00FD31A2"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rsidR="006E5027" w:rsidRPr="00FD31A2" w:rsidRDefault="006E5027" w:rsidP="006E5027">
      <w:pPr>
        <w:numPr>
          <w:ilvl w:val="1"/>
          <w:numId w:val="7"/>
        </w:numPr>
        <w:tabs>
          <w:tab w:val="clear" w:pos="576"/>
          <w:tab w:val="clear" w:pos="792"/>
          <w:tab w:val="clear" w:pos="1008"/>
          <w:tab w:val="clear" w:pos="1224"/>
          <w:tab w:val="clear" w:pos="1440"/>
          <w:tab w:val="left" w:pos="720"/>
          <w:tab w:val="left" w:pos="1134"/>
          <w:tab w:val="left" w:pos="1871"/>
          <w:tab w:val="left" w:pos="2268"/>
        </w:tabs>
        <w:overflowPunct w:val="0"/>
        <w:autoSpaceDE w:val="0"/>
        <w:autoSpaceDN w:val="0"/>
        <w:adjustRightInd w:val="0"/>
        <w:spacing w:before="120" w:after="109" w:line="247" w:lineRule="auto"/>
        <w:jc w:val="both"/>
        <w:rPr>
          <w:rFonts w:eastAsia="Times New Roman"/>
          <w:color w:val="000000"/>
        </w:rPr>
      </w:pPr>
      <w:r w:rsidRPr="00FD31A2">
        <w:rPr>
          <w:rFonts w:eastAsia="Times New Roman"/>
          <w:color w:val="000000"/>
        </w:rPr>
        <w:t xml:space="preserve">to </w:t>
      </w:r>
      <w:r>
        <w:rPr>
          <w:rFonts w:eastAsia="Times New Roman"/>
          <w:color w:val="000000"/>
        </w:rPr>
        <w:t>define the cases and conditions under which satellite-to-satellite links may be accommodated in the fixed-satellite service</w:t>
      </w:r>
      <w:r w:rsidR="00711531">
        <w:rPr>
          <w:rFonts w:eastAsia="Times New Roman"/>
          <w:color w:val="000000"/>
        </w:rPr>
        <w:t xml:space="preserve"> in</w:t>
      </w:r>
      <w:r w:rsidR="00E43370">
        <w:rPr>
          <w:rFonts w:eastAsia="Times New Roman"/>
          <w:color w:val="000000"/>
        </w:rPr>
        <w:t xml:space="preserve"> the 27.5 – </w:t>
      </w:r>
      <w:r w:rsidR="00711531">
        <w:rPr>
          <w:rFonts w:eastAsia="Times New Roman"/>
          <w:color w:val="000000"/>
        </w:rPr>
        <w:t>30 GHz frequency band</w:t>
      </w:r>
      <w:r>
        <w:rPr>
          <w:rFonts w:eastAsia="Times New Roman"/>
          <w:color w:val="000000"/>
        </w:rPr>
        <w:t>, as opposed to the inter-satellite service</w:t>
      </w:r>
      <w:r w:rsidR="00711531">
        <w:rPr>
          <w:rFonts w:eastAsia="Times New Roman"/>
          <w:color w:val="000000"/>
        </w:rPr>
        <w:t xml:space="preserve"> in other frequency bands</w:t>
      </w:r>
      <w:r>
        <w:rPr>
          <w:rFonts w:eastAsia="Times New Roman"/>
          <w:color w:val="000000"/>
        </w:rPr>
        <w:t xml:space="preserve">, taking into account </w:t>
      </w:r>
      <w:r w:rsidR="0000266F">
        <w:rPr>
          <w:rFonts w:eastAsia="Times New Roman"/>
          <w:color w:val="000000"/>
        </w:rPr>
        <w:t xml:space="preserve">the necessary </w:t>
      </w:r>
      <w:r>
        <w:rPr>
          <w:rFonts w:eastAsia="Times New Roman"/>
          <w:color w:val="000000"/>
        </w:rPr>
        <w:t xml:space="preserve">protection of Earth-to-space and space to-Earth links in the fixed-satellite service, in accordance with Resolution </w:t>
      </w:r>
      <w:r w:rsidRPr="006E5027">
        <w:rPr>
          <w:rFonts w:eastAsia="Times New Roman"/>
          <w:b/>
          <w:color w:val="000000"/>
        </w:rPr>
        <w:t>[A10-SAT-TO-SAT]</w:t>
      </w:r>
      <w:r w:rsidRPr="00FD31A2">
        <w:rPr>
          <w:rFonts w:eastAsia="Times New Roman"/>
          <w:b/>
          <w:color w:val="000000"/>
        </w:rPr>
        <w:t xml:space="preserve"> (WRC-1</w:t>
      </w:r>
      <w:r>
        <w:rPr>
          <w:rFonts w:eastAsia="Times New Roman"/>
          <w:b/>
          <w:color w:val="000000"/>
        </w:rPr>
        <w:t>9</w:t>
      </w:r>
      <w:r w:rsidRPr="00FD31A2">
        <w:rPr>
          <w:rFonts w:eastAsia="Times New Roman"/>
          <w:b/>
          <w:color w:val="000000"/>
        </w:rPr>
        <w:t>)</w:t>
      </w:r>
      <w:r w:rsidRPr="00FD31A2">
        <w:rPr>
          <w:rFonts w:eastAsia="Times New Roman"/>
          <w:color w:val="000000"/>
        </w:rPr>
        <w:t xml:space="preserve">; </w:t>
      </w:r>
    </w:p>
    <w:p w:rsidR="006E5027"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rsidR="00723713" w:rsidRDefault="00723713" w:rsidP="00273CCF">
      <w:pPr>
        <w:rPr>
          <w:b/>
        </w:rPr>
      </w:pPr>
    </w:p>
    <w:p w:rsidR="00723713" w:rsidRDefault="00723713" w:rsidP="00273CCF">
      <w:pPr>
        <w:rPr>
          <w:b/>
        </w:rPr>
      </w:pPr>
    </w:p>
    <w:p w:rsidR="003265E7" w:rsidRPr="00344EE5" w:rsidRDefault="003265E7" w:rsidP="003265E7">
      <w:pPr>
        <w:jc w:val="both"/>
        <w:rPr>
          <w:szCs w:val="24"/>
        </w:rPr>
      </w:pPr>
      <w:r w:rsidRPr="00344EE5">
        <w:rPr>
          <w:szCs w:val="24"/>
        </w:rPr>
        <w:br w:type="page"/>
      </w:r>
    </w:p>
    <w:p w:rsidR="000F17D8" w:rsidRDefault="000F17D8" w:rsidP="000F17D8">
      <w:pPr>
        <w:rPr>
          <w:b/>
        </w:rPr>
      </w:pPr>
      <w:r>
        <w:rPr>
          <w:b/>
        </w:rPr>
        <w:lastRenderedPageBreak/>
        <w:t>ADD</w:t>
      </w:r>
      <w:r>
        <w:rPr>
          <w:b/>
        </w:rPr>
        <w:tab/>
      </w:r>
      <w:r w:rsidRPr="00606072">
        <w:rPr>
          <w:b/>
        </w:rPr>
        <w:tab/>
      </w:r>
      <w:r w:rsidRPr="00606072">
        <w:rPr>
          <w:b/>
        </w:rPr>
        <w:tab/>
        <w:t>USA/</w:t>
      </w:r>
      <w:r>
        <w:rPr>
          <w:b/>
        </w:rPr>
        <w:t>10</w:t>
      </w:r>
      <w:proofErr w:type="gramStart"/>
      <w:r w:rsidRPr="00606072">
        <w:rPr>
          <w:b/>
        </w:rPr>
        <w:t>/</w:t>
      </w:r>
      <w:r>
        <w:rPr>
          <w:b/>
        </w:rPr>
        <w:t>[</w:t>
      </w:r>
      <w:proofErr w:type="gramEnd"/>
      <w:r>
        <w:rPr>
          <w:b/>
        </w:rPr>
        <w:t>SAT-TO-SAT-2]</w:t>
      </w:r>
    </w:p>
    <w:p w:rsidR="000F17D8" w:rsidRDefault="000F17D8" w:rsidP="00273CCF">
      <w:pPr>
        <w:rPr>
          <w:b/>
        </w:rPr>
      </w:pPr>
    </w:p>
    <w:p w:rsidR="00C0134E" w:rsidRPr="00B93F6A" w:rsidRDefault="00C0134E" w:rsidP="00C0134E">
      <w:pPr>
        <w:pStyle w:val="ResNo"/>
      </w:pPr>
      <w:bookmarkStart w:id="0" w:name="a"/>
      <w:bookmarkEnd w:id="0"/>
      <w:r w:rsidRPr="00B93F6A">
        <w:t xml:space="preserve">draft new RESOLUTION </w:t>
      </w:r>
      <w:r w:rsidRPr="00B93F6A">
        <w:rPr>
          <w:rStyle w:val="href"/>
        </w:rPr>
        <w:t>[</w:t>
      </w:r>
      <w:r w:rsidR="00723713" w:rsidRPr="00B93F6A">
        <w:rPr>
          <w:rStyle w:val="href"/>
        </w:rPr>
        <w:t>A</w:t>
      </w:r>
      <w:r w:rsidR="00723713">
        <w:rPr>
          <w:rStyle w:val="href"/>
        </w:rPr>
        <w:t>10-SAT-TO-SAT</w:t>
      </w:r>
      <w:proofErr w:type="gramStart"/>
      <w:r w:rsidRPr="00B93F6A">
        <w:rPr>
          <w:rStyle w:val="href"/>
        </w:rPr>
        <w:t>]</w:t>
      </w:r>
      <w:r w:rsidRPr="00B93F6A">
        <w:t xml:space="preserve"> </w:t>
      </w:r>
      <w:r w:rsidR="003265E7">
        <w:t xml:space="preserve"> </w:t>
      </w:r>
      <w:r w:rsidRPr="00B93F6A">
        <w:t>(</w:t>
      </w:r>
      <w:proofErr w:type="gramEnd"/>
      <w:r w:rsidRPr="00B93F6A">
        <w:t>WRC</w:t>
      </w:r>
      <w:r w:rsidRPr="00B93F6A">
        <w:noBreakHyphen/>
        <w:t>19)</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rPr>
      </w:pPr>
    </w:p>
    <w:p w:rsidR="008F5441" w:rsidRPr="008F5441" w:rsidRDefault="00723713"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r>
        <w:rPr>
          <w:rFonts w:ascii="Times New Roman Bold" w:eastAsia="Times New Roman" w:hAnsi="Times New Roman Bold"/>
          <w:b/>
          <w:sz w:val="28"/>
          <w:szCs w:val="20"/>
          <w:lang w:val="en-GB"/>
        </w:rPr>
        <w:t>Study of cases in which satellite-to-satellite links may be included in the fixed-satellite service</w:t>
      </w:r>
      <w:r w:rsidR="00711531">
        <w:rPr>
          <w:rFonts w:ascii="Times New Roman Bold" w:eastAsia="Times New Roman" w:hAnsi="Times New Roman Bold"/>
          <w:b/>
          <w:sz w:val="28"/>
          <w:szCs w:val="20"/>
          <w:lang w:val="en-GB"/>
        </w:rPr>
        <w:t xml:space="preserve"> in the 27.5 – 30 </w:t>
      </w:r>
      <w:r w:rsidR="00E43370">
        <w:rPr>
          <w:rFonts w:ascii="Times New Roman Bold" w:eastAsia="Times New Roman" w:hAnsi="Times New Roman Bold"/>
          <w:b/>
          <w:sz w:val="28"/>
          <w:szCs w:val="20"/>
          <w:lang w:val="en-GB"/>
        </w:rPr>
        <w:t xml:space="preserve">GHz </w:t>
      </w:r>
      <w:r w:rsidR="00711531">
        <w:rPr>
          <w:rFonts w:ascii="Times New Roman Bold" w:eastAsia="Times New Roman" w:hAnsi="Times New Roman Bold"/>
          <w:b/>
          <w:sz w:val="28"/>
          <w:szCs w:val="20"/>
          <w:lang w:val="en-GB"/>
        </w:rPr>
        <w:t>frequency band</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 xml:space="preserve">The World </w:t>
      </w:r>
      <w:proofErr w:type="spellStart"/>
      <w:r w:rsidRPr="008F5441">
        <w:rPr>
          <w:rFonts w:eastAsia="Times New Roman"/>
          <w:szCs w:val="20"/>
          <w:lang w:val="en-GB"/>
        </w:rPr>
        <w:t>Radiocommunication</w:t>
      </w:r>
      <w:proofErr w:type="spellEnd"/>
      <w:r w:rsidRPr="008F5441">
        <w:rPr>
          <w:rFonts w:eastAsia="Times New Roman"/>
          <w:szCs w:val="20"/>
          <w:lang w:val="en-GB"/>
        </w:rPr>
        <w:t xml:space="preserve"> Conference (</w:t>
      </w:r>
      <w:proofErr w:type="spellStart"/>
      <w:r w:rsidR="00723713">
        <w:rPr>
          <w:rFonts w:eastAsia="Times New Roman"/>
          <w:szCs w:val="20"/>
          <w:lang w:val="en-GB"/>
        </w:rPr>
        <w:t>Sharm</w:t>
      </w:r>
      <w:proofErr w:type="spellEnd"/>
      <w:r w:rsidR="00723713">
        <w:rPr>
          <w:rFonts w:eastAsia="Times New Roman"/>
          <w:szCs w:val="20"/>
          <w:lang w:val="en-GB"/>
        </w:rPr>
        <w:t xml:space="preserve">-el-Sheikh, </w:t>
      </w:r>
      <w:r w:rsidRPr="008F5441">
        <w:rPr>
          <w:rFonts w:eastAsia="Times New Roman"/>
          <w:szCs w:val="20"/>
          <w:lang w:val="en-GB"/>
        </w:rPr>
        <w:t>2019),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considering</w:t>
      </w:r>
      <w:proofErr w:type="gramEnd"/>
    </w:p>
    <w:p w:rsid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8F5441">
        <w:rPr>
          <w:rFonts w:eastAsia="Times New Roman"/>
          <w:i/>
          <w:color w:val="000000"/>
          <w:szCs w:val="20"/>
          <w:lang w:val="en-GB"/>
        </w:rPr>
        <w:t>a)</w:t>
      </w:r>
      <w:r w:rsidRPr="008F5441">
        <w:rPr>
          <w:rFonts w:eastAsia="Times New Roman"/>
          <w:color w:val="000000"/>
          <w:szCs w:val="20"/>
          <w:lang w:val="en-GB"/>
        </w:rPr>
        <w:tab/>
        <w:t xml:space="preserve">that </w:t>
      </w:r>
      <w:r w:rsidR="006E5027">
        <w:rPr>
          <w:rFonts w:eastAsia="Times New Roman"/>
          <w:color w:val="000000"/>
          <w:szCs w:val="20"/>
          <w:lang w:val="en-GB"/>
        </w:rPr>
        <w:t>No. 1.22 of the Radio Regulations defines the fixed-satellite service as “</w:t>
      </w:r>
      <w:r w:rsidR="006E5027" w:rsidRPr="006E5027">
        <w:rPr>
          <w:rFonts w:eastAsia="Times New Roman"/>
          <w:color w:val="000000"/>
          <w:szCs w:val="20"/>
          <w:lang w:val="en-GB"/>
        </w:rPr>
        <w:t xml:space="preserve">A </w:t>
      </w:r>
      <w:proofErr w:type="spellStart"/>
      <w:r w:rsidR="006E5027" w:rsidRPr="006E5027">
        <w:rPr>
          <w:rFonts w:eastAsia="Times New Roman"/>
          <w:color w:val="000000"/>
          <w:szCs w:val="20"/>
          <w:lang w:val="en-GB"/>
        </w:rPr>
        <w:t>radiocommunication</w:t>
      </w:r>
      <w:proofErr w:type="spellEnd"/>
      <w:r w:rsidR="006E5027" w:rsidRPr="006E5027">
        <w:rPr>
          <w:rFonts w:eastAsia="Times New Roman"/>
          <w:color w:val="000000"/>
          <w:szCs w:val="20"/>
          <w:lang w:val="en-GB"/>
        </w:rPr>
        <w:t xml:space="preserve"> service between earth stations at given positions, when one or more satellites are used; the given position may be a specified fixed point or any fixed point within specified areas; in some cases this service includes satellite-to-satellite links, which may also be operated in the inter-satellite service; the fixed-satellite service may also include feeder links for other space </w:t>
      </w:r>
      <w:proofErr w:type="spellStart"/>
      <w:r w:rsidR="006E5027" w:rsidRPr="006E5027">
        <w:rPr>
          <w:rFonts w:eastAsia="Times New Roman"/>
          <w:color w:val="000000"/>
          <w:szCs w:val="20"/>
          <w:lang w:val="en-GB"/>
        </w:rPr>
        <w:t>radiocommunication</w:t>
      </w:r>
      <w:proofErr w:type="spellEnd"/>
      <w:r w:rsidR="006E5027" w:rsidRPr="006E5027">
        <w:rPr>
          <w:rFonts w:eastAsia="Times New Roman"/>
          <w:color w:val="000000"/>
          <w:szCs w:val="20"/>
          <w:lang w:val="en-GB"/>
        </w:rPr>
        <w:t xml:space="preserve"> services</w:t>
      </w:r>
      <w:r w:rsidR="006E5027">
        <w:rPr>
          <w:rFonts w:eastAsia="Times New Roman"/>
          <w:color w:val="000000"/>
          <w:szCs w:val="20"/>
          <w:lang w:val="en-GB"/>
        </w:rPr>
        <w:t>”;</w:t>
      </w:r>
    </w:p>
    <w:p w:rsidR="00200E17" w:rsidRDefault="00200E17"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6E5027">
        <w:rPr>
          <w:rFonts w:eastAsia="Times New Roman"/>
          <w:i/>
          <w:color w:val="000000"/>
          <w:szCs w:val="20"/>
          <w:lang w:val="en-GB"/>
        </w:rPr>
        <w:t>b)</w:t>
      </w:r>
      <w:r>
        <w:rPr>
          <w:rFonts w:eastAsia="Times New Roman"/>
          <w:color w:val="000000"/>
          <w:szCs w:val="20"/>
          <w:lang w:val="en-GB"/>
        </w:rPr>
        <w:tab/>
      </w:r>
      <w:proofErr w:type="gramStart"/>
      <w:r>
        <w:rPr>
          <w:rFonts w:eastAsia="Times New Roman"/>
          <w:color w:val="000000"/>
          <w:szCs w:val="20"/>
          <w:lang w:val="en-GB"/>
        </w:rPr>
        <w:t>that</w:t>
      </w:r>
      <w:proofErr w:type="gramEnd"/>
      <w:r>
        <w:rPr>
          <w:rFonts w:eastAsia="Times New Roman"/>
          <w:color w:val="000000"/>
          <w:szCs w:val="20"/>
          <w:lang w:val="en-GB"/>
        </w:rPr>
        <w:t xml:space="preserve"> </w:t>
      </w:r>
      <w:r w:rsidR="006E5027">
        <w:rPr>
          <w:rFonts w:eastAsia="Times New Roman"/>
          <w:color w:val="000000"/>
          <w:szCs w:val="20"/>
          <w:lang w:val="en-GB"/>
        </w:rPr>
        <w:t xml:space="preserve">the </w:t>
      </w:r>
      <w:r w:rsidR="006E5027" w:rsidRPr="006E5027">
        <w:rPr>
          <w:rFonts w:eastAsia="Times New Roman"/>
          <w:color w:val="000000"/>
          <w:szCs w:val="20"/>
          <w:lang w:val="en-GB"/>
        </w:rPr>
        <w:t>“some cases” in which satellite-to-satellite links are included in the fixed-satellite service are not defined</w:t>
      </w:r>
      <w:r w:rsidR="006E5027">
        <w:rPr>
          <w:rFonts w:eastAsia="Times New Roman"/>
          <w:color w:val="000000"/>
          <w:szCs w:val="20"/>
          <w:lang w:val="en-GB"/>
        </w:rPr>
        <w:t xml:space="preserve"> in the Radio Regulations or other ITU-R texts</w:t>
      </w:r>
      <w:r w:rsidR="002C055C">
        <w:rPr>
          <w:rFonts w:eastAsia="Times New Roman"/>
          <w:color w:val="000000"/>
          <w:szCs w:val="20"/>
          <w:lang w:val="en-GB"/>
        </w:rPr>
        <w:t>;</w:t>
      </w:r>
    </w:p>
    <w:p w:rsidR="002C055C" w:rsidRP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6E5027">
        <w:rPr>
          <w:rFonts w:eastAsia="Times New Roman"/>
          <w:i/>
          <w:color w:val="000000"/>
          <w:szCs w:val="20"/>
          <w:lang w:val="en-GB"/>
        </w:rPr>
        <w:t>c)</w:t>
      </w:r>
      <w:r>
        <w:rPr>
          <w:rFonts w:eastAsia="Times New Roman"/>
          <w:color w:val="000000"/>
          <w:szCs w:val="20"/>
          <w:lang w:val="en-GB"/>
        </w:rPr>
        <w:tab/>
      </w:r>
      <w:proofErr w:type="gramStart"/>
      <w:r>
        <w:rPr>
          <w:rFonts w:eastAsia="Times New Roman"/>
          <w:color w:val="000000"/>
          <w:szCs w:val="20"/>
          <w:lang w:val="en-GB"/>
        </w:rPr>
        <w:t>that</w:t>
      </w:r>
      <w:proofErr w:type="gramEnd"/>
      <w:r>
        <w:rPr>
          <w:rFonts w:eastAsia="Times New Roman"/>
          <w:color w:val="000000"/>
          <w:szCs w:val="20"/>
          <w:lang w:val="en-GB"/>
        </w:rPr>
        <w:t xml:space="preserve"> </w:t>
      </w:r>
      <w:r w:rsidR="006E5027" w:rsidRPr="006E5027">
        <w:rPr>
          <w:rFonts w:eastAsia="Times New Roman"/>
          <w:color w:val="000000"/>
          <w:szCs w:val="20"/>
          <w:lang w:val="en-GB"/>
        </w:rPr>
        <w:t>frequency bands allocated to the fixed-satellite service are used for links between space stations and earth stations</w:t>
      </w:r>
      <w:r>
        <w:rPr>
          <w:rFonts w:eastAsia="Times New Roman"/>
          <w:color w:val="000000"/>
          <w:szCs w:val="20"/>
          <w:lang w:val="en-GB"/>
        </w:rPr>
        <w:t>;</w:t>
      </w:r>
    </w:p>
    <w:p w:rsid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i/>
          <w:iCs/>
          <w:szCs w:val="20"/>
          <w:lang w:val="en-GB"/>
        </w:rPr>
        <w:t>d</w:t>
      </w:r>
      <w:r w:rsidR="008F5441" w:rsidRPr="008F5441">
        <w:rPr>
          <w:rFonts w:eastAsia="Times New Roman"/>
          <w:i/>
          <w:iCs/>
          <w:szCs w:val="20"/>
          <w:lang w:val="en-GB"/>
        </w:rPr>
        <w:t>)</w:t>
      </w:r>
      <w:r w:rsidR="008F5441" w:rsidRPr="008F5441">
        <w:rPr>
          <w:rFonts w:eastAsia="Times New Roman"/>
          <w:szCs w:val="20"/>
          <w:lang w:val="en-GB"/>
        </w:rPr>
        <w:tab/>
      </w:r>
      <w:proofErr w:type="gramStart"/>
      <w:r w:rsidR="008F5441" w:rsidRPr="008F5441">
        <w:rPr>
          <w:rFonts w:eastAsia="Times New Roman"/>
          <w:szCs w:val="20"/>
          <w:lang w:val="en-GB"/>
        </w:rPr>
        <w:t>that</w:t>
      </w:r>
      <w:proofErr w:type="gramEnd"/>
      <w:r w:rsidR="008F5441" w:rsidRPr="008F5441">
        <w:rPr>
          <w:rFonts w:eastAsia="Times New Roman"/>
          <w:szCs w:val="20"/>
          <w:lang w:val="en-GB"/>
        </w:rPr>
        <w:t xml:space="preserve"> </w:t>
      </w:r>
      <w:r w:rsidR="006E5027">
        <w:rPr>
          <w:rFonts w:eastAsia="Times New Roman"/>
          <w:szCs w:val="20"/>
          <w:lang w:val="en-GB"/>
        </w:rPr>
        <w:t>satellite-to-satellite links may be operated in the inter-satellite service</w:t>
      </w:r>
      <w:r w:rsidR="000B2C92">
        <w:rPr>
          <w:rFonts w:eastAsia="Times New Roman"/>
          <w:szCs w:val="20"/>
          <w:lang w:val="en-GB"/>
        </w:rPr>
        <w:t>;</w:t>
      </w:r>
      <w:r w:rsidR="008F5441" w:rsidRPr="008F5441">
        <w:rPr>
          <w:rFonts w:eastAsia="Times New Roman"/>
          <w:szCs w:val="20"/>
          <w:lang w:val="en-GB"/>
        </w:rPr>
        <w:t xml:space="preserve"> </w:t>
      </w:r>
    </w:p>
    <w:p w:rsidR="000B2C92" w:rsidRPr="008F5441" w:rsidRDefault="000B2C92"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0B2C92">
        <w:rPr>
          <w:rFonts w:eastAsia="Times New Roman"/>
          <w:i/>
          <w:szCs w:val="20"/>
          <w:lang w:val="en-GB"/>
        </w:rPr>
        <w:t>e)</w:t>
      </w:r>
      <w:r>
        <w:rPr>
          <w:rFonts w:eastAsia="Times New Roman"/>
          <w:szCs w:val="20"/>
          <w:lang w:val="en-GB"/>
        </w:rPr>
        <w:tab/>
        <w:t xml:space="preserve">that </w:t>
      </w:r>
      <w:r>
        <w:rPr>
          <w:bCs/>
          <w:szCs w:val="24"/>
        </w:rPr>
        <w:t>while several allocations to the fixed-satellite service are designated in the Table of Allocations for “space-to-Earth” or “Earth-to-space” transmissions, none are designated for “space-to-space” transmissions,</w:t>
      </w:r>
      <w:r>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recognizing</w:t>
      </w:r>
      <w:proofErr w:type="gramEnd"/>
    </w:p>
    <w:p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a)</w:t>
      </w:r>
      <w:r w:rsidRPr="001C4C79">
        <w:rPr>
          <w:rFonts w:eastAsia="Times New Roman"/>
          <w:szCs w:val="20"/>
          <w:lang w:val="en-GB"/>
        </w:rPr>
        <w:tab/>
      </w:r>
      <w:proofErr w:type="gramStart"/>
      <w:r>
        <w:rPr>
          <w:rFonts w:eastAsia="Times New Roman"/>
          <w:szCs w:val="20"/>
          <w:lang w:val="en-GB"/>
        </w:rPr>
        <w:t>that</w:t>
      </w:r>
      <w:proofErr w:type="gramEnd"/>
      <w:r>
        <w:rPr>
          <w:rFonts w:eastAsia="Times New Roman"/>
          <w:szCs w:val="20"/>
          <w:lang w:val="en-GB"/>
        </w:rPr>
        <w:t xml:space="preserve"> </w:t>
      </w:r>
      <w:r w:rsidRPr="001C4C79">
        <w:rPr>
          <w:rFonts w:eastAsia="Times New Roman"/>
          <w:szCs w:val="20"/>
          <w:lang w:val="en-GB"/>
        </w:rPr>
        <w:t xml:space="preserve">it is necessary to </w:t>
      </w:r>
      <w:proofErr w:type="spellStart"/>
      <w:r w:rsidRPr="001C4C79">
        <w:rPr>
          <w:rFonts w:eastAsia="Times New Roman"/>
          <w:szCs w:val="20"/>
          <w:lang w:val="en-GB"/>
        </w:rPr>
        <w:t>analyze</w:t>
      </w:r>
      <w:proofErr w:type="spellEnd"/>
      <w:r w:rsidRPr="001C4C79">
        <w:rPr>
          <w:rFonts w:eastAsia="Times New Roman"/>
          <w:szCs w:val="20"/>
          <w:lang w:val="en-GB"/>
        </w:rPr>
        <w:t xml:space="preserve"> the use of the same bands for satellite-to-satellite links to ensure compatibility </w:t>
      </w:r>
      <w:r>
        <w:rPr>
          <w:rFonts w:eastAsia="Times New Roman"/>
          <w:szCs w:val="20"/>
          <w:lang w:val="en-GB"/>
        </w:rPr>
        <w:t xml:space="preserve">with satellite-to-Earth station links </w:t>
      </w:r>
      <w:r w:rsidRPr="001C4C79">
        <w:rPr>
          <w:rFonts w:eastAsia="Times New Roman"/>
          <w:szCs w:val="20"/>
          <w:lang w:val="en-GB"/>
        </w:rPr>
        <w:t>and avoid harmful interference;</w:t>
      </w:r>
    </w:p>
    <w:p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b)</w:t>
      </w:r>
      <w:r w:rsidRPr="001C4C79">
        <w:rPr>
          <w:rFonts w:eastAsia="Times New Roman"/>
          <w:szCs w:val="20"/>
          <w:lang w:val="en-GB"/>
        </w:rPr>
        <w:tab/>
      </w:r>
      <w:proofErr w:type="gramStart"/>
      <w:r>
        <w:rPr>
          <w:rFonts w:eastAsia="Times New Roman"/>
          <w:szCs w:val="20"/>
          <w:lang w:val="en-GB"/>
        </w:rPr>
        <w:t>that</w:t>
      </w:r>
      <w:proofErr w:type="gramEnd"/>
      <w:r>
        <w:rPr>
          <w:rFonts w:eastAsia="Times New Roman"/>
          <w:szCs w:val="20"/>
          <w:lang w:val="en-GB"/>
        </w:rPr>
        <w:t xml:space="preserve"> t</w:t>
      </w:r>
      <w:r w:rsidRPr="001C4C79">
        <w:rPr>
          <w:rFonts w:eastAsia="Times New Roman"/>
          <w:szCs w:val="20"/>
          <w:lang w:val="en-GB"/>
        </w:rPr>
        <w:t>he sharing scenario is likely to differ as the orbital characteristics of the satellite</w:t>
      </w:r>
      <w:r>
        <w:rPr>
          <w:rFonts w:eastAsia="Times New Roman"/>
          <w:szCs w:val="20"/>
          <w:lang w:val="en-GB"/>
        </w:rPr>
        <w:t>s</w:t>
      </w:r>
      <w:r w:rsidRPr="001C4C79">
        <w:rPr>
          <w:rFonts w:eastAsia="Times New Roman"/>
          <w:szCs w:val="20"/>
          <w:lang w:val="en-GB"/>
        </w:rPr>
        <w:t xml:space="preserve"> vary;</w:t>
      </w:r>
    </w:p>
    <w:p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c)</w:t>
      </w:r>
      <w:r w:rsidRPr="001C4C79">
        <w:rPr>
          <w:rFonts w:eastAsia="Times New Roman"/>
          <w:szCs w:val="20"/>
          <w:lang w:val="en-GB"/>
        </w:rPr>
        <w:tab/>
        <w:t>that links between satelli</w:t>
      </w:r>
      <w:r>
        <w:rPr>
          <w:rFonts w:eastAsia="Times New Roman"/>
          <w:szCs w:val="20"/>
          <w:lang w:val="en-GB"/>
        </w:rPr>
        <w:t>tes in geostationary orbit</w:t>
      </w:r>
      <w:r w:rsidRPr="001C4C79">
        <w:rPr>
          <w:rFonts w:eastAsia="Times New Roman"/>
          <w:szCs w:val="20"/>
          <w:lang w:val="en-GB"/>
        </w:rPr>
        <w:t xml:space="preserve"> will differ in geometry and impact when compared to links between links between satellites </w:t>
      </w:r>
      <w:r>
        <w:rPr>
          <w:rFonts w:eastAsia="Times New Roman"/>
          <w:szCs w:val="20"/>
          <w:lang w:val="en-GB"/>
        </w:rPr>
        <w:t>in non-geostationary orbit</w:t>
      </w:r>
      <w:r w:rsidRPr="001C4C79">
        <w:rPr>
          <w:rFonts w:eastAsia="Times New Roman"/>
          <w:szCs w:val="20"/>
          <w:lang w:val="en-GB"/>
        </w:rPr>
        <w:t xml:space="preserve">, or links between a satellite in </w:t>
      </w:r>
      <w:r>
        <w:rPr>
          <w:rFonts w:eastAsia="Times New Roman"/>
          <w:szCs w:val="20"/>
          <w:lang w:val="en-GB"/>
        </w:rPr>
        <w:t>geostationary orbit</w:t>
      </w:r>
      <w:r w:rsidRPr="001C4C79">
        <w:rPr>
          <w:rFonts w:eastAsia="Times New Roman"/>
          <w:szCs w:val="20"/>
          <w:lang w:val="en-GB"/>
        </w:rPr>
        <w:t xml:space="preserve"> and a satellite in </w:t>
      </w:r>
      <w:r>
        <w:rPr>
          <w:rFonts w:eastAsia="Times New Roman"/>
          <w:szCs w:val="20"/>
          <w:lang w:val="en-GB"/>
        </w:rPr>
        <w:t>non-geostationary orbit</w:t>
      </w:r>
      <w:r w:rsidRPr="001C4C79">
        <w:rPr>
          <w:rFonts w:eastAsia="Times New Roman"/>
          <w:szCs w:val="20"/>
          <w:lang w:val="en-GB"/>
        </w:rPr>
        <w:t>;</w:t>
      </w:r>
    </w:p>
    <w:p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iCs/>
          <w:szCs w:val="20"/>
          <w:lang w:val="en-GB"/>
        </w:rPr>
        <w:t>d)</w:t>
      </w:r>
      <w:r w:rsidRPr="001C4C79">
        <w:rPr>
          <w:rFonts w:eastAsia="Times New Roman"/>
          <w:szCs w:val="20"/>
          <w:lang w:val="en-GB"/>
        </w:rPr>
        <w:tab/>
      </w:r>
      <w:proofErr w:type="gramStart"/>
      <w:r w:rsidRPr="001C4C79">
        <w:rPr>
          <w:rFonts w:eastAsia="Times New Roman"/>
          <w:szCs w:val="20"/>
          <w:lang w:val="en-GB"/>
        </w:rPr>
        <w:t>that</w:t>
      </w:r>
      <w:proofErr w:type="gramEnd"/>
      <w:r w:rsidRPr="001C4C79">
        <w:rPr>
          <w:rFonts w:eastAsia="Times New Roman"/>
          <w:szCs w:val="20"/>
          <w:lang w:val="en-GB"/>
        </w:rPr>
        <w:t xml:space="preserve"> </w:t>
      </w:r>
      <w:r>
        <w:rPr>
          <w:rFonts w:eastAsia="Times New Roman"/>
          <w:szCs w:val="20"/>
          <w:lang w:val="en-GB"/>
        </w:rPr>
        <w:t xml:space="preserve">while </w:t>
      </w:r>
      <w:r w:rsidRPr="001C4C79">
        <w:rPr>
          <w:rFonts w:eastAsia="Times New Roman"/>
          <w:szCs w:val="20"/>
          <w:lang w:val="en-GB"/>
        </w:rPr>
        <w:t>satellite-to-satellite links may be operated in the inter-satellite service</w:t>
      </w:r>
      <w:r>
        <w:rPr>
          <w:rFonts w:eastAsia="Times New Roman"/>
          <w:szCs w:val="20"/>
          <w:lang w:val="en-GB"/>
        </w:rPr>
        <w:t>, satellite-to-Earth station links may not</w:t>
      </w:r>
      <w:r w:rsidRPr="001C4C79">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1C4C79" w:rsidRPr="008F5441" w:rsidRDefault="001C4C79" w:rsidP="001C4C7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Pr>
          <w:rFonts w:eastAsia="Times New Roman"/>
          <w:i/>
          <w:szCs w:val="20"/>
          <w:lang w:val="en-GB"/>
        </w:rPr>
        <w:lastRenderedPageBreak/>
        <w:t>noting</w:t>
      </w:r>
      <w:proofErr w:type="gramEnd"/>
    </w:p>
    <w:p w:rsid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a)</w:t>
      </w:r>
      <w:r w:rsidRPr="001C4C79">
        <w:rPr>
          <w:rFonts w:eastAsia="Times New Roman"/>
          <w:szCs w:val="20"/>
          <w:lang w:val="en-GB"/>
        </w:rPr>
        <w:tab/>
      </w:r>
      <w:r>
        <w:rPr>
          <w:rFonts w:eastAsia="Times New Roman"/>
          <w:szCs w:val="20"/>
          <w:lang w:val="en-GB"/>
        </w:rPr>
        <w:t>that p</w:t>
      </w:r>
      <w:r w:rsidRPr="001C4C79">
        <w:rPr>
          <w:rFonts w:eastAsia="Times New Roman"/>
          <w:szCs w:val="20"/>
          <w:lang w:val="en-GB"/>
        </w:rPr>
        <w:t xml:space="preserve">reliminary ITU-R studies have identified factors to be considered in assessing the compatibility of </w:t>
      </w:r>
      <w:r w:rsidR="00711531">
        <w:rPr>
          <w:rFonts w:eastAsia="Times New Roman"/>
          <w:szCs w:val="20"/>
          <w:lang w:val="en-GB"/>
        </w:rPr>
        <w:t>non-</w:t>
      </w:r>
      <w:r>
        <w:rPr>
          <w:rFonts w:eastAsia="Times New Roman"/>
          <w:szCs w:val="20"/>
          <w:lang w:val="en-GB"/>
        </w:rPr>
        <w:t>geostationary</w:t>
      </w:r>
      <w:r w:rsidRPr="001C4C79">
        <w:rPr>
          <w:rFonts w:eastAsia="Times New Roman"/>
          <w:szCs w:val="20"/>
          <w:lang w:val="en-GB"/>
        </w:rPr>
        <w:t xml:space="preserve"> </w:t>
      </w:r>
      <w:r>
        <w:rPr>
          <w:rFonts w:eastAsia="Times New Roman"/>
          <w:szCs w:val="20"/>
          <w:lang w:val="en-GB"/>
        </w:rPr>
        <w:t xml:space="preserve">satellite </w:t>
      </w:r>
      <w:r w:rsidRPr="001C4C79">
        <w:rPr>
          <w:rFonts w:eastAsia="Times New Roman"/>
          <w:szCs w:val="20"/>
          <w:lang w:val="en-GB"/>
        </w:rPr>
        <w:t>to-</w:t>
      </w:r>
      <w:r>
        <w:rPr>
          <w:rFonts w:eastAsia="Times New Roman"/>
          <w:szCs w:val="20"/>
          <w:lang w:val="en-GB"/>
        </w:rPr>
        <w:t xml:space="preserve">geostationary </w:t>
      </w:r>
      <w:r w:rsidRPr="001C4C79">
        <w:rPr>
          <w:rFonts w:eastAsia="Times New Roman"/>
          <w:szCs w:val="20"/>
          <w:lang w:val="en-GB"/>
        </w:rPr>
        <w:t xml:space="preserve">satellite links with Earth-to-space and space-to-Earth links in </w:t>
      </w:r>
      <w:r w:rsidR="00711531">
        <w:rPr>
          <w:rFonts w:eastAsia="Times New Roman"/>
          <w:szCs w:val="20"/>
          <w:lang w:val="en-GB"/>
        </w:rPr>
        <w:t>the 27.5</w:t>
      </w:r>
      <w:r w:rsidR="00E43370">
        <w:rPr>
          <w:rFonts w:eastAsia="Times New Roman"/>
          <w:color w:val="000000"/>
        </w:rPr>
        <w:t xml:space="preserve"> – </w:t>
      </w:r>
      <w:r w:rsidR="00711531">
        <w:rPr>
          <w:rFonts w:eastAsia="Times New Roman"/>
          <w:szCs w:val="20"/>
          <w:lang w:val="en-GB"/>
        </w:rPr>
        <w:t>30 GHz frequency band</w:t>
      </w:r>
      <w:r w:rsidRPr="001C4C79">
        <w:rPr>
          <w:rFonts w:eastAsia="Times New Roman"/>
          <w:szCs w:val="20"/>
          <w:lang w:val="en-GB"/>
        </w:rPr>
        <w:t>;</w:t>
      </w:r>
    </w:p>
    <w:p w:rsidR="001C4C79" w:rsidRDefault="001C4C79" w:rsidP="000B2C9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i/>
          <w:szCs w:val="20"/>
          <w:lang w:val="en-GB"/>
        </w:rPr>
        <w:t>b)</w:t>
      </w:r>
      <w:r>
        <w:rPr>
          <w:rFonts w:eastAsia="Times New Roman"/>
          <w:szCs w:val="20"/>
          <w:lang w:val="en-GB"/>
        </w:rPr>
        <w:tab/>
        <w:t>that further development of these studies</w:t>
      </w:r>
      <w:r w:rsidR="0000266F">
        <w:rPr>
          <w:rFonts w:eastAsia="Times New Roman"/>
          <w:szCs w:val="20"/>
          <w:lang w:val="en-GB"/>
        </w:rPr>
        <w:t>, including study of links between geostationary satellites and between non-geostationary satellites, may identify and define the cases in which use of fixed-satellite service allocations are suitable for satellite-to-satellite links, as well as identify cases where use of fixed-satellite service allocations would be incompatible with satellite-to-Earth station links,</w:t>
      </w:r>
    </w:p>
    <w:p w:rsidR="00E472D7" w:rsidRDefault="00E472D7"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resolves</w:t>
      </w:r>
      <w:proofErr w:type="gramEnd"/>
      <w:r w:rsidR="0000266F">
        <w:rPr>
          <w:rFonts w:eastAsia="Times New Roman"/>
          <w:i/>
          <w:szCs w:val="20"/>
          <w:lang w:val="en-GB"/>
        </w:rPr>
        <w:t xml:space="preserve"> to invite ITU-R</w:t>
      </w:r>
    </w:p>
    <w:p w:rsidR="0000266F" w:rsidRDefault="0000266F"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1</w:t>
      </w:r>
      <w:r>
        <w:rPr>
          <w:rFonts w:eastAsia="Times New Roman"/>
          <w:szCs w:val="20"/>
          <w:lang w:val="en-GB"/>
        </w:rPr>
        <w:tab/>
        <w:t xml:space="preserve">to conduct studies to determine </w:t>
      </w:r>
      <w:r w:rsidRPr="0000266F">
        <w:rPr>
          <w:rFonts w:eastAsia="Times New Roman"/>
          <w:szCs w:val="20"/>
          <w:lang w:val="en-GB"/>
        </w:rPr>
        <w:t>cases and conditions under which satellite-to-satellite links may be accommodated in the fixed-satellite service</w:t>
      </w:r>
      <w:r w:rsidR="00711531">
        <w:rPr>
          <w:rFonts w:eastAsia="Times New Roman"/>
          <w:szCs w:val="20"/>
          <w:lang w:val="en-GB"/>
        </w:rPr>
        <w:t xml:space="preserve"> in the 27.5</w:t>
      </w:r>
      <w:r w:rsidR="00CB6EA2">
        <w:rPr>
          <w:rFonts w:eastAsia="Times New Roman"/>
          <w:szCs w:val="20"/>
          <w:lang w:val="en-GB"/>
        </w:rPr>
        <w:t xml:space="preserve"> – </w:t>
      </w:r>
      <w:r w:rsidR="00711531">
        <w:rPr>
          <w:rFonts w:eastAsia="Times New Roman"/>
          <w:szCs w:val="20"/>
          <w:lang w:val="en-GB"/>
        </w:rPr>
        <w:t>30 GHz frequency band</w:t>
      </w:r>
      <w:r w:rsidRPr="0000266F">
        <w:rPr>
          <w:rFonts w:eastAsia="Times New Roman"/>
          <w:szCs w:val="20"/>
          <w:lang w:val="en-GB"/>
        </w:rPr>
        <w:t>, as opposed to the inter-satellite service</w:t>
      </w:r>
      <w:r w:rsidR="00711531">
        <w:rPr>
          <w:rFonts w:eastAsia="Times New Roman"/>
          <w:szCs w:val="20"/>
          <w:lang w:val="en-GB"/>
        </w:rPr>
        <w:t xml:space="preserve"> in other frequency bands</w:t>
      </w:r>
      <w:r w:rsidRPr="0000266F">
        <w:rPr>
          <w:rFonts w:eastAsia="Times New Roman"/>
          <w:szCs w:val="20"/>
          <w:lang w:val="en-GB"/>
        </w:rPr>
        <w:t xml:space="preserve">, taking into account </w:t>
      </w:r>
      <w:r>
        <w:rPr>
          <w:rFonts w:eastAsia="Times New Roman"/>
          <w:szCs w:val="20"/>
          <w:lang w:val="en-GB"/>
        </w:rPr>
        <w:t>the necessary protection</w:t>
      </w:r>
      <w:r w:rsidRPr="0000266F">
        <w:rPr>
          <w:rFonts w:eastAsia="Times New Roman"/>
          <w:szCs w:val="20"/>
          <w:lang w:val="en-GB"/>
        </w:rPr>
        <w:t xml:space="preserve"> of Earth-to-space and space to-Earth links in the fixed-satellite service</w:t>
      </w:r>
      <w:r>
        <w:rPr>
          <w:rFonts w:eastAsia="Times New Roman"/>
          <w:szCs w:val="20"/>
          <w:lang w:val="en-GB"/>
        </w:rPr>
        <w:t>;</w:t>
      </w:r>
    </w:p>
    <w:p w:rsidR="003265E7" w:rsidRDefault="0000266F"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2</w:t>
      </w:r>
      <w:r>
        <w:rPr>
          <w:rFonts w:eastAsia="Times New Roman"/>
          <w:szCs w:val="20"/>
          <w:lang w:val="en-GB"/>
        </w:rPr>
        <w:tab/>
        <w:t xml:space="preserve">to consider, when conducting the studies called for in </w:t>
      </w:r>
      <w:r>
        <w:rPr>
          <w:rFonts w:eastAsia="Times New Roman"/>
          <w:i/>
          <w:szCs w:val="20"/>
          <w:lang w:val="en-GB"/>
        </w:rPr>
        <w:t>resolves to invite ITU-R 1</w:t>
      </w:r>
      <w:r>
        <w:rPr>
          <w:rFonts w:eastAsia="Times New Roman"/>
          <w:szCs w:val="20"/>
          <w:lang w:val="en-GB"/>
        </w:rPr>
        <w:t xml:space="preserve">, cases of satellite-to-satellite links among geostationary satellites, among non-geostationary satellites, and </w:t>
      </w:r>
      <w:r w:rsidR="00711531">
        <w:rPr>
          <w:rFonts w:eastAsia="Times New Roman"/>
          <w:szCs w:val="20"/>
          <w:lang w:val="en-GB"/>
        </w:rPr>
        <w:t>from non-</w:t>
      </w:r>
      <w:r>
        <w:rPr>
          <w:rFonts w:eastAsia="Times New Roman"/>
          <w:szCs w:val="20"/>
          <w:lang w:val="en-GB"/>
        </w:rPr>
        <w:t xml:space="preserve">geostationary </w:t>
      </w:r>
      <w:r w:rsidR="00711531">
        <w:rPr>
          <w:rFonts w:eastAsia="Times New Roman"/>
          <w:szCs w:val="20"/>
          <w:lang w:val="en-GB"/>
        </w:rPr>
        <w:t xml:space="preserve">to </w:t>
      </w:r>
      <w:r>
        <w:rPr>
          <w:rFonts w:eastAsia="Times New Roman"/>
          <w:szCs w:val="20"/>
          <w:lang w:val="en-GB"/>
        </w:rPr>
        <w:t>geostationary satellites</w:t>
      </w:r>
      <w:r w:rsidR="003265E7">
        <w:rPr>
          <w:rFonts w:eastAsia="Times New Roman"/>
          <w:szCs w:val="20"/>
          <w:lang w:val="en-GB"/>
        </w:rPr>
        <w:t>;</w:t>
      </w:r>
    </w:p>
    <w:p w:rsidR="0000266F" w:rsidRPr="0000266F" w:rsidRDefault="003265E7"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3</w:t>
      </w:r>
      <w:r>
        <w:rPr>
          <w:rFonts w:eastAsia="Times New Roman"/>
          <w:szCs w:val="20"/>
          <w:lang w:val="en-GB"/>
        </w:rPr>
        <w:tab/>
        <w:t xml:space="preserve">to complete these studies by the 2023 World </w:t>
      </w:r>
      <w:proofErr w:type="spellStart"/>
      <w:r>
        <w:rPr>
          <w:rFonts w:eastAsia="Times New Roman"/>
          <w:szCs w:val="20"/>
          <w:lang w:val="en-GB"/>
        </w:rPr>
        <w:t>Radiocommunication</w:t>
      </w:r>
      <w:proofErr w:type="spellEnd"/>
      <w:r>
        <w:rPr>
          <w:rFonts w:eastAsia="Times New Roman"/>
          <w:szCs w:val="20"/>
          <w:lang w:val="en-GB"/>
        </w:rPr>
        <w:t xml:space="preserve"> Conference</w:t>
      </w:r>
      <w:r w:rsidR="0000266F">
        <w:rPr>
          <w:rFonts w:eastAsia="Times New Roman"/>
          <w:szCs w:val="20"/>
          <w:lang w:val="en-GB"/>
        </w:rPr>
        <w:t>,</w:t>
      </w:r>
    </w:p>
    <w:p w:rsidR="00E472D7" w:rsidRDefault="00E472D7" w:rsidP="0000266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rsidR="0000266F" w:rsidRPr="008F5441" w:rsidRDefault="0000266F" w:rsidP="0000266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Pr>
          <w:rFonts w:eastAsia="Times New Roman"/>
          <w:i/>
          <w:szCs w:val="20"/>
          <w:lang w:val="en-GB"/>
        </w:rPr>
        <w:t>invites</w:t>
      </w:r>
      <w:proofErr w:type="gramEnd"/>
      <w:r>
        <w:rPr>
          <w:rFonts w:eastAsia="Times New Roman"/>
          <w:i/>
          <w:szCs w:val="20"/>
          <w:lang w:val="en-GB"/>
        </w:rPr>
        <w:t xml:space="preserve"> administrations</w:t>
      </w:r>
    </w:p>
    <w:p w:rsidR="0000266F" w:rsidRDefault="0000266F" w:rsidP="0000266F">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sz w:val="23"/>
          <w:szCs w:val="23"/>
        </w:rPr>
      </w:pPr>
      <w:proofErr w:type="gramStart"/>
      <w:r>
        <w:rPr>
          <w:sz w:val="23"/>
          <w:szCs w:val="23"/>
        </w:rPr>
        <w:t>to</w:t>
      </w:r>
      <w:proofErr w:type="gramEnd"/>
      <w:r>
        <w:rPr>
          <w:sz w:val="23"/>
          <w:szCs w:val="23"/>
        </w:rPr>
        <w:t xml:space="preserve"> participate in the studies and to provide input contributions,</w:t>
      </w:r>
    </w:p>
    <w:p w:rsidR="00E472D7" w:rsidRDefault="00E472D7" w:rsidP="00E472D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rsidR="00E472D7" w:rsidRPr="008F5441" w:rsidRDefault="00E472D7" w:rsidP="00E472D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resolves</w:t>
      </w:r>
      <w:proofErr w:type="gramEnd"/>
      <w:r>
        <w:rPr>
          <w:rFonts w:eastAsia="Times New Roman"/>
          <w:i/>
          <w:szCs w:val="20"/>
          <w:lang w:val="en-GB"/>
        </w:rPr>
        <w:t xml:space="preserve"> to invite the 2023 World </w:t>
      </w:r>
      <w:proofErr w:type="spellStart"/>
      <w:r>
        <w:rPr>
          <w:rFonts w:eastAsia="Times New Roman"/>
          <w:i/>
          <w:szCs w:val="20"/>
          <w:lang w:val="en-GB"/>
        </w:rPr>
        <w:t>Radiocommunication</w:t>
      </w:r>
      <w:proofErr w:type="spellEnd"/>
      <w:r>
        <w:rPr>
          <w:rFonts w:eastAsia="Times New Roman"/>
          <w:i/>
          <w:szCs w:val="20"/>
          <w:lang w:val="en-GB"/>
        </w:rPr>
        <w:t xml:space="preserve"> Conference</w:t>
      </w:r>
    </w:p>
    <w:p w:rsidR="00E472D7" w:rsidRDefault="00E472D7" w:rsidP="00E472D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roofErr w:type="gramStart"/>
      <w:r>
        <w:rPr>
          <w:rFonts w:eastAsia="Times New Roman"/>
          <w:szCs w:val="20"/>
          <w:lang w:val="en-GB"/>
        </w:rPr>
        <w:t>to</w:t>
      </w:r>
      <w:proofErr w:type="gramEnd"/>
      <w:r>
        <w:rPr>
          <w:rFonts w:eastAsia="Times New Roman"/>
          <w:szCs w:val="20"/>
          <w:lang w:val="en-GB"/>
        </w:rPr>
        <w:t xml:space="preserve"> consider the results of the above studies and take necessary regulatory actions, as appropriate.</w:t>
      </w:r>
    </w:p>
    <w:p w:rsidR="00E472D7" w:rsidRDefault="00E472D7" w:rsidP="0000266F">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273CCF" w:rsidRPr="00241F98" w:rsidRDefault="00273CCF" w:rsidP="00273CCF">
      <w:pPr>
        <w:jc w:val="center"/>
      </w:pPr>
      <w:r>
        <w:t>_____________</w:t>
      </w:r>
    </w:p>
    <w:p w:rsidR="00AF7CAA" w:rsidRDefault="00AF7CAA" w:rsidP="00273CCF"/>
    <w:p w:rsidR="00184558" w:rsidRDefault="00184558" w:rsidP="00273CCF"/>
    <w:p w:rsidR="00184558" w:rsidRPr="008052CB" w:rsidRDefault="00184558" w:rsidP="00273CCF"/>
    <w:p w:rsidR="00BB318C" w:rsidRDefault="00BB318C"/>
    <w:sectPr w:rsidR="00BB318C" w:rsidSect="00D172E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790" w:rsidRDefault="00795790">
      <w:r>
        <w:separator/>
      </w:r>
    </w:p>
  </w:endnote>
  <w:endnote w:type="continuationSeparator" w:id="0">
    <w:p w:rsidR="00795790" w:rsidRDefault="0079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B0662" w:rsidRDefault="00BB06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BD" w:rsidRDefault="004D4D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BD" w:rsidRDefault="004D4D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790" w:rsidRDefault="00795790">
      <w:r>
        <w:separator/>
      </w:r>
    </w:p>
  </w:footnote>
  <w:footnote w:type="continuationSeparator" w:id="0">
    <w:p w:rsidR="00795790" w:rsidRDefault="007957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BD" w:rsidRDefault="004D4D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62" w:rsidRDefault="00BB0662" w:rsidP="009E06B6">
    <w:pPr>
      <w:pStyle w:val="Header"/>
    </w:pPr>
    <w:r>
      <w:t>IWG-</w:t>
    </w:r>
    <w:r w:rsidR="004D4DBD">
      <w:t>4</w:t>
    </w:r>
    <w:bookmarkStart w:id="1" w:name="_GoBack"/>
    <w:bookmarkEnd w:id="1"/>
    <w:r>
      <w:t xml:space="preserve"> (</w:t>
    </w:r>
    <w:r w:rsidR="004D4DBD">
      <w:t>31</w:t>
    </w:r>
    <w:r w:rsidR="00746EF1">
      <w:t>.</w:t>
    </w:r>
    <w:r w:rsidR="004D4DBD">
      <w:t>10</w:t>
    </w:r>
    <w:r w:rsidR="00746EF1">
      <w:t>.</w:t>
    </w:r>
    <w:r>
      <w:t>2018</w:t>
    </w:r>
    <w:r w:rsidRPr="009E06B6">
      <w:t>)</w:t>
    </w:r>
  </w:p>
  <w:p w:rsidR="00BB0662" w:rsidRPr="009E06B6" w:rsidRDefault="00BB0662" w:rsidP="009E06B6">
    <w:pPr>
      <w:pStyle w:val="Header"/>
    </w:pPr>
    <w:r>
      <w:t xml:space="preserve">Author: </w:t>
    </w:r>
    <w:r w:rsidR="00657A01">
      <w:t>Brennan Price</w:t>
    </w:r>
  </w:p>
  <w:p w:rsidR="00BB0662" w:rsidRDefault="00BB0662" w:rsidP="009E06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BD" w:rsidRDefault="004D4D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815890"/>
    <w:multiLevelType w:val="hybridMultilevel"/>
    <w:tmpl w:val="5B681A98"/>
    <w:lvl w:ilvl="0" w:tplc="BED687E8">
      <w:numFmt w:val="bullet"/>
      <w:lvlText w:val=""/>
      <w:lvlJc w:val="left"/>
      <w:pPr>
        <w:ind w:left="345" w:hanging="360"/>
      </w:pPr>
      <w:rPr>
        <w:rFonts w:ascii="Symbol" w:eastAsia="Times New Roman" w:hAnsi="Symbol"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3"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BD215E"/>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6" w15:restartNumberingAfterBreak="0">
    <w:nsid w:val="776357C1"/>
    <w:multiLevelType w:val="multilevel"/>
    <w:tmpl w:val="CDA6F200"/>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CF"/>
    <w:rsid w:val="000018B5"/>
    <w:rsid w:val="0000266F"/>
    <w:rsid w:val="000118CC"/>
    <w:rsid w:val="00057154"/>
    <w:rsid w:val="0006441B"/>
    <w:rsid w:val="000832F5"/>
    <w:rsid w:val="00096DB1"/>
    <w:rsid w:val="000A3071"/>
    <w:rsid w:val="000B03A9"/>
    <w:rsid w:val="000B2C92"/>
    <w:rsid w:val="000E7A2C"/>
    <w:rsid w:val="000F17D8"/>
    <w:rsid w:val="000F3B4B"/>
    <w:rsid w:val="00104813"/>
    <w:rsid w:val="00111A49"/>
    <w:rsid w:val="0011732D"/>
    <w:rsid w:val="0012275A"/>
    <w:rsid w:val="001345B4"/>
    <w:rsid w:val="001428C7"/>
    <w:rsid w:val="00145BDB"/>
    <w:rsid w:val="001571C1"/>
    <w:rsid w:val="00180628"/>
    <w:rsid w:val="00181D11"/>
    <w:rsid w:val="00184558"/>
    <w:rsid w:val="0019752E"/>
    <w:rsid w:val="001C2491"/>
    <w:rsid w:val="001C4C79"/>
    <w:rsid w:val="001D0465"/>
    <w:rsid w:val="001F5540"/>
    <w:rsid w:val="00200E17"/>
    <w:rsid w:val="00203161"/>
    <w:rsid w:val="00214443"/>
    <w:rsid w:val="00214F1E"/>
    <w:rsid w:val="00222918"/>
    <w:rsid w:val="00231BF8"/>
    <w:rsid w:val="00245849"/>
    <w:rsid w:val="00271477"/>
    <w:rsid w:val="00273CCF"/>
    <w:rsid w:val="00293879"/>
    <w:rsid w:val="002A62AA"/>
    <w:rsid w:val="002B33E6"/>
    <w:rsid w:val="002B4426"/>
    <w:rsid w:val="002C055C"/>
    <w:rsid w:val="002C36D7"/>
    <w:rsid w:val="002C3D59"/>
    <w:rsid w:val="0030510A"/>
    <w:rsid w:val="003265E7"/>
    <w:rsid w:val="003301A1"/>
    <w:rsid w:val="00344EE5"/>
    <w:rsid w:val="003463C2"/>
    <w:rsid w:val="0035048C"/>
    <w:rsid w:val="0036555D"/>
    <w:rsid w:val="003848AB"/>
    <w:rsid w:val="00393BE0"/>
    <w:rsid w:val="00394129"/>
    <w:rsid w:val="00397132"/>
    <w:rsid w:val="003D6B4A"/>
    <w:rsid w:val="003E6089"/>
    <w:rsid w:val="003F0C79"/>
    <w:rsid w:val="003F52CC"/>
    <w:rsid w:val="00422589"/>
    <w:rsid w:val="00435789"/>
    <w:rsid w:val="00441FFE"/>
    <w:rsid w:val="00443F19"/>
    <w:rsid w:val="00476D47"/>
    <w:rsid w:val="004A5C93"/>
    <w:rsid w:val="004B7CBF"/>
    <w:rsid w:val="004D0CF4"/>
    <w:rsid w:val="004D4DBD"/>
    <w:rsid w:val="004E7F66"/>
    <w:rsid w:val="004F20BA"/>
    <w:rsid w:val="004F6677"/>
    <w:rsid w:val="00502C21"/>
    <w:rsid w:val="00572109"/>
    <w:rsid w:val="00574E9B"/>
    <w:rsid w:val="005922E4"/>
    <w:rsid w:val="005A644B"/>
    <w:rsid w:val="005D6997"/>
    <w:rsid w:val="005F49EC"/>
    <w:rsid w:val="00606072"/>
    <w:rsid w:val="006179B3"/>
    <w:rsid w:val="0062379E"/>
    <w:rsid w:val="00637651"/>
    <w:rsid w:val="00657A01"/>
    <w:rsid w:val="00670ACF"/>
    <w:rsid w:val="00690A88"/>
    <w:rsid w:val="00690FB5"/>
    <w:rsid w:val="006A5F84"/>
    <w:rsid w:val="006E5027"/>
    <w:rsid w:val="00702B57"/>
    <w:rsid w:val="00711531"/>
    <w:rsid w:val="00722232"/>
    <w:rsid w:val="007227C7"/>
    <w:rsid w:val="007228A2"/>
    <w:rsid w:val="00723713"/>
    <w:rsid w:val="007319DC"/>
    <w:rsid w:val="007323EF"/>
    <w:rsid w:val="0073564E"/>
    <w:rsid w:val="00746EF1"/>
    <w:rsid w:val="007726CB"/>
    <w:rsid w:val="007800AD"/>
    <w:rsid w:val="00795790"/>
    <w:rsid w:val="007A5F77"/>
    <w:rsid w:val="007B3BCB"/>
    <w:rsid w:val="007D3D2B"/>
    <w:rsid w:val="007E349D"/>
    <w:rsid w:val="007F3F33"/>
    <w:rsid w:val="008072C3"/>
    <w:rsid w:val="00830969"/>
    <w:rsid w:val="00835BE9"/>
    <w:rsid w:val="008416E1"/>
    <w:rsid w:val="0084669D"/>
    <w:rsid w:val="008952AB"/>
    <w:rsid w:val="008A23EF"/>
    <w:rsid w:val="008C3EF5"/>
    <w:rsid w:val="008F5441"/>
    <w:rsid w:val="009012B5"/>
    <w:rsid w:val="00910C23"/>
    <w:rsid w:val="0093527E"/>
    <w:rsid w:val="00936B27"/>
    <w:rsid w:val="00966A22"/>
    <w:rsid w:val="009E06B6"/>
    <w:rsid w:val="009E33F4"/>
    <w:rsid w:val="009F10B3"/>
    <w:rsid w:val="009F3549"/>
    <w:rsid w:val="009F6963"/>
    <w:rsid w:val="00A047C6"/>
    <w:rsid w:val="00A41752"/>
    <w:rsid w:val="00AA5451"/>
    <w:rsid w:val="00AD1918"/>
    <w:rsid w:val="00AF7CAA"/>
    <w:rsid w:val="00B249FC"/>
    <w:rsid w:val="00B5494E"/>
    <w:rsid w:val="00B6286F"/>
    <w:rsid w:val="00B7591F"/>
    <w:rsid w:val="00B76E5D"/>
    <w:rsid w:val="00B8382F"/>
    <w:rsid w:val="00BB0662"/>
    <w:rsid w:val="00BB318C"/>
    <w:rsid w:val="00BD017C"/>
    <w:rsid w:val="00BE75FD"/>
    <w:rsid w:val="00BE7E61"/>
    <w:rsid w:val="00C0134E"/>
    <w:rsid w:val="00C2762B"/>
    <w:rsid w:val="00C30E21"/>
    <w:rsid w:val="00C46299"/>
    <w:rsid w:val="00C7087E"/>
    <w:rsid w:val="00C920CE"/>
    <w:rsid w:val="00CB6EA2"/>
    <w:rsid w:val="00D06CF1"/>
    <w:rsid w:val="00D172EC"/>
    <w:rsid w:val="00D374A4"/>
    <w:rsid w:val="00D70172"/>
    <w:rsid w:val="00D96C0F"/>
    <w:rsid w:val="00E11F4B"/>
    <w:rsid w:val="00E207CB"/>
    <w:rsid w:val="00E43370"/>
    <w:rsid w:val="00E472D7"/>
    <w:rsid w:val="00EB1FCA"/>
    <w:rsid w:val="00EF2CED"/>
    <w:rsid w:val="00EF473A"/>
    <w:rsid w:val="00F117EB"/>
    <w:rsid w:val="00F175FA"/>
    <w:rsid w:val="00F41774"/>
    <w:rsid w:val="00F66D32"/>
    <w:rsid w:val="00F81474"/>
    <w:rsid w:val="00F94D58"/>
    <w:rsid w:val="00FA3EB5"/>
    <w:rsid w:val="00FC393B"/>
    <w:rsid w:val="00FD31A2"/>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C79"/>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829889">
      <w:bodyDiv w:val="1"/>
      <w:marLeft w:val="0"/>
      <w:marRight w:val="0"/>
      <w:marTop w:val="0"/>
      <w:marBottom w:val="0"/>
      <w:divBdr>
        <w:top w:val="none" w:sz="0" w:space="0" w:color="auto"/>
        <w:left w:val="none" w:sz="0" w:space="0" w:color="auto"/>
        <w:bottom w:val="none" w:sz="0" w:space="0" w:color="auto"/>
        <w:right w:val="none" w:sz="0" w:space="0" w:color="auto"/>
      </w:divBdr>
    </w:div>
    <w:div w:id="102841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24724-63A8-4DA3-BD51-F32BD025E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7124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Price, Brennan</cp:lastModifiedBy>
  <cp:revision>3</cp:revision>
  <cp:lastPrinted>2018-09-19T21:19:00Z</cp:lastPrinted>
  <dcterms:created xsi:type="dcterms:W3CDTF">2018-10-08T20:23:00Z</dcterms:created>
  <dcterms:modified xsi:type="dcterms:W3CDTF">2018-10-31T17:37:00Z</dcterms:modified>
</cp:coreProperties>
</file>