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4B9B0F" w14:textId="77777777" w:rsidR="005D2129" w:rsidRDefault="00D158E7">
      <w:pPr>
        <w:spacing w:after="0" w:line="259" w:lineRule="auto"/>
        <w:ind w:left="18" w:right="2"/>
        <w:jc w:val="center"/>
      </w:pPr>
      <w:r>
        <w:rPr>
          <w:b/>
        </w:rPr>
        <w:t xml:space="preserve">Before the </w:t>
      </w:r>
    </w:p>
    <w:p w14:paraId="4B885721" w14:textId="6C58DD01" w:rsidR="005D2129" w:rsidRDefault="009F346F">
      <w:pPr>
        <w:spacing w:after="0" w:line="259" w:lineRule="auto"/>
        <w:ind w:left="18" w:right="2"/>
        <w:jc w:val="center"/>
      </w:pPr>
      <w:r>
        <w:rPr>
          <w:b/>
        </w:rPr>
        <w:t>Federal Communications Commission</w:t>
      </w:r>
    </w:p>
    <w:p w14:paraId="48836E2C" w14:textId="77777777" w:rsidR="005D2129" w:rsidRDefault="00D158E7">
      <w:pPr>
        <w:spacing w:after="0" w:line="259" w:lineRule="auto"/>
        <w:ind w:left="18"/>
        <w:jc w:val="center"/>
      </w:pPr>
      <w:r>
        <w:rPr>
          <w:b/>
        </w:rPr>
        <w:t xml:space="preserve">Washington, D.C. 20554 </w:t>
      </w:r>
    </w:p>
    <w:p w14:paraId="75265803" w14:textId="77777777" w:rsidR="005D2129" w:rsidRDefault="00D158E7">
      <w:pPr>
        <w:spacing w:after="0" w:line="259" w:lineRule="auto"/>
        <w:ind w:left="68" w:firstLine="0"/>
        <w:jc w:val="center"/>
      </w:pPr>
      <w:r>
        <w:t xml:space="preserve"> </w:t>
      </w:r>
    </w:p>
    <w:p w14:paraId="5B0B569C" w14:textId="77777777" w:rsidR="005D2129" w:rsidRDefault="00D158E7">
      <w:pPr>
        <w:spacing w:after="0" w:line="259" w:lineRule="auto"/>
        <w:ind w:left="0" w:firstLine="0"/>
      </w:pPr>
      <w:r>
        <w:t xml:space="preserve"> </w:t>
      </w:r>
    </w:p>
    <w:p w14:paraId="5D0691AF" w14:textId="0A1930BF" w:rsidR="005D2129" w:rsidRDefault="00D158E7" w:rsidP="00DF2FFE">
      <w:pPr>
        <w:tabs>
          <w:tab w:val="center" w:pos="2160"/>
          <w:tab w:val="center" w:pos="2880"/>
          <w:tab w:val="center" w:pos="3600"/>
          <w:tab w:val="center" w:pos="4320"/>
          <w:tab w:val="center" w:pos="5040"/>
          <w:tab w:val="left" w:pos="5760"/>
        </w:tabs>
        <w:ind w:left="-15" w:firstLine="0"/>
      </w:pPr>
      <w:r>
        <w:t xml:space="preserve">In the Matter of </w:t>
      </w:r>
      <w:r>
        <w:tab/>
        <w:t xml:space="preserve"> </w:t>
      </w:r>
      <w:r>
        <w:tab/>
        <w:t xml:space="preserve"> </w:t>
      </w:r>
      <w:r>
        <w:tab/>
        <w:t xml:space="preserve"> </w:t>
      </w:r>
      <w:r>
        <w:tab/>
        <w:t xml:space="preserve"> </w:t>
      </w:r>
      <w:r>
        <w:tab/>
      </w:r>
      <w:r w:rsidR="00463BCA">
        <w:tab/>
      </w:r>
      <w:r>
        <w:t xml:space="preserve">) </w:t>
      </w:r>
    </w:p>
    <w:p w14:paraId="600FDFCE" w14:textId="3F75313C" w:rsidR="005D2129" w:rsidRDefault="00D158E7" w:rsidP="00DF2FFE">
      <w:pPr>
        <w:tabs>
          <w:tab w:val="center" w:pos="720"/>
          <w:tab w:val="center" w:pos="1440"/>
          <w:tab w:val="center" w:pos="2160"/>
          <w:tab w:val="center" w:pos="2881"/>
          <w:tab w:val="center" w:pos="3601"/>
          <w:tab w:val="center" w:pos="4321"/>
          <w:tab w:val="center" w:pos="5040"/>
          <w:tab w:val="center" w:pos="5081"/>
          <w:tab w:val="left" w:pos="5760"/>
        </w:tabs>
        <w:ind w:left="-15" w:firstLine="0"/>
      </w:pPr>
      <w:r>
        <w:t xml:space="preserve"> </w:t>
      </w:r>
      <w:r>
        <w:tab/>
        <w:t xml:space="preserve"> </w:t>
      </w:r>
      <w:r>
        <w:tab/>
        <w:t xml:space="preserve"> </w:t>
      </w:r>
      <w:r>
        <w:tab/>
        <w:t xml:space="preserve"> </w:t>
      </w:r>
      <w:r>
        <w:tab/>
        <w:t xml:space="preserve"> </w:t>
      </w:r>
      <w:r>
        <w:tab/>
        <w:t xml:space="preserve"> </w:t>
      </w:r>
      <w:r>
        <w:tab/>
        <w:t xml:space="preserve"> </w:t>
      </w:r>
      <w:r>
        <w:tab/>
      </w:r>
      <w:r w:rsidR="00DF2FFE">
        <w:tab/>
      </w:r>
      <w:r w:rsidR="00463BCA">
        <w:tab/>
      </w:r>
      <w:r>
        <w:t xml:space="preserve">) </w:t>
      </w:r>
      <w:r>
        <w:tab/>
        <w:t xml:space="preserve"> </w:t>
      </w:r>
    </w:p>
    <w:p w14:paraId="7346C7E1" w14:textId="58BC0E23" w:rsidR="00570C6B" w:rsidRDefault="00463BCA" w:rsidP="00DF2FFE">
      <w:pPr>
        <w:pStyle w:val="Default"/>
        <w:tabs>
          <w:tab w:val="center" w:pos="5040"/>
          <w:tab w:val="left" w:pos="5760"/>
        </w:tabs>
        <w:rPr>
          <w:sz w:val="22"/>
          <w:szCs w:val="22"/>
        </w:rPr>
      </w:pPr>
      <w:r w:rsidRPr="00463BCA">
        <w:rPr>
          <w:sz w:val="22"/>
          <w:szCs w:val="22"/>
        </w:rPr>
        <w:t>Implementation of Section 621(a)(1) of the Cable</w:t>
      </w:r>
      <w:r w:rsidR="00570C6B">
        <w:rPr>
          <w:sz w:val="22"/>
          <w:szCs w:val="22"/>
        </w:rPr>
        <w:tab/>
      </w:r>
      <w:r w:rsidR="00570C6B">
        <w:rPr>
          <w:sz w:val="22"/>
          <w:szCs w:val="22"/>
        </w:rPr>
        <w:tab/>
        <w:t>)</w:t>
      </w:r>
      <w:r w:rsidR="00570C6B">
        <w:rPr>
          <w:sz w:val="22"/>
          <w:szCs w:val="22"/>
        </w:rPr>
        <w:tab/>
      </w:r>
      <w:r w:rsidRPr="00463BCA">
        <w:rPr>
          <w:sz w:val="22"/>
          <w:szCs w:val="22"/>
        </w:rPr>
        <w:t>MB Docket No. 05-311</w:t>
      </w:r>
    </w:p>
    <w:p w14:paraId="5C09DDFE" w14:textId="0DEEA769" w:rsidR="005D2129" w:rsidRDefault="00463BCA" w:rsidP="00DF2FFE">
      <w:pPr>
        <w:tabs>
          <w:tab w:val="center" w:pos="4320"/>
          <w:tab w:val="center" w:pos="5040"/>
          <w:tab w:val="center" w:pos="5080"/>
          <w:tab w:val="left" w:pos="5760"/>
          <w:tab w:val="center" w:pos="7607"/>
        </w:tabs>
        <w:ind w:left="-15" w:firstLine="0"/>
      </w:pPr>
      <w:r w:rsidRPr="00463BCA">
        <w:t>Communications Policy Act of 1984 as Amended</w:t>
      </w:r>
      <w:r w:rsidR="00570C6B">
        <w:tab/>
      </w:r>
      <w:r w:rsidR="00DF2FFE">
        <w:tab/>
      </w:r>
      <w:r w:rsidR="00070C67">
        <w:tab/>
      </w:r>
      <w:r w:rsidR="00D158E7">
        <w:t>)</w:t>
      </w:r>
    </w:p>
    <w:p w14:paraId="4AF56946" w14:textId="17992E1B" w:rsidR="00463BCA" w:rsidRDefault="00463BCA" w:rsidP="00DF2FFE">
      <w:pPr>
        <w:tabs>
          <w:tab w:val="center" w:pos="4320"/>
          <w:tab w:val="center" w:pos="5040"/>
          <w:tab w:val="center" w:pos="5080"/>
          <w:tab w:val="left" w:pos="5760"/>
          <w:tab w:val="center" w:pos="7607"/>
        </w:tabs>
        <w:ind w:left="-15" w:firstLine="0"/>
      </w:pPr>
      <w:r w:rsidRPr="00463BCA">
        <w:t>by the Cable Television Consumer Protection and</w:t>
      </w:r>
      <w:r>
        <w:tab/>
      </w:r>
      <w:r w:rsidR="00DF2FFE">
        <w:tab/>
      </w:r>
      <w:r>
        <w:tab/>
        <w:t>)</w:t>
      </w:r>
    </w:p>
    <w:p w14:paraId="6E3D9068" w14:textId="65B272F7" w:rsidR="00463BCA" w:rsidRDefault="00463BCA" w:rsidP="00DF2FFE">
      <w:pPr>
        <w:tabs>
          <w:tab w:val="center" w:pos="4320"/>
          <w:tab w:val="center" w:pos="5040"/>
          <w:tab w:val="center" w:pos="5080"/>
          <w:tab w:val="left" w:pos="5760"/>
        </w:tabs>
        <w:ind w:left="-15" w:firstLine="0"/>
      </w:pPr>
      <w:r w:rsidRPr="00463BCA">
        <w:t>Competition Act of 1992</w:t>
      </w:r>
      <w:r>
        <w:tab/>
      </w:r>
      <w:r>
        <w:tab/>
      </w:r>
      <w:r w:rsidR="00DF2FFE">
        <w:tab/>
      </w:r>
      <w:r>
        <w:tab/>
        <w:t>)</w:t>
      </w:r>
    </w:p>
    <w:p w14:paraId="38E13ACB" w14:textId="3BE9742E" w:rsidR="00570C6B" w:rsidRDefault="00570C6B">
      <w:pPr>
        <w:tabs>
          <w:tab w:val="center" w:pos="4320"/>
          <w:tab w:val="center" w:pos="5080"/>
          <w:tab w:val="center" w:pos="5761"/>
          <w:tab w:val="center" w:pos="7607"/>
        </w:tabs>
        <w:ind w:left="-15" w:firstLine="0"/>
      </w:pPr>
      <w:r>
        <w:tab/>
      </w:r>
      <w:r>
        <w:tab/>
      </w:r>
    </w:p>
    <w:p w14:paraId="77A245E9" w14:textId="77777777" w:rsidR="00ED1553" w:rsidRDefault="00ED1553">
      <w:pPr>
        <w:spacing w:after="0" w:line="259" w:lineRule="auto"/>
        <w:ind w:left="18" w:right="3"/>
        <w:jc w:val="center"/>
        <w:rPr>
          <w:b/>
        </w:rPr>
      </w:pPr>
    </w:p>
    <w:p w14:paraId="78E078B7" w14:textId="4A19938F" w:rsidR="005D2129" w:rsidRDefault="00D158E7">
      <w:pPr>
        <w:spacing w:after="0" w:line="259" w:lineRule="auto"/>
        <w:ind w:left="18" w:right="3"/>
        <w:jc w:val="center"/>
      </w:pPr>
      <w:r>
        <w:rPr>
          <w:b/>
        </w:rPr>
        <w:t xml:space="preserve">COMMENTS OF </w:t>
      </w:r>
      <w:r w:rsidR="00FF314A">
        <w:rPr>
          <w:b/>
        </w:rPr>
        <w:t>KITSAP COUNTY</w:t>
      </w:r>
      <w:r w:rsidR="00411B25">
        <w:rPr>
          <w:b/>
        </w:rPr>
        <w:t>, WASHINGTON</w:t>
      </w:r>
    </w:p>
    <w:p w14:paraId="5683FD30" w14:textId="77777777" w:rsidR="005D2129" w:rsidRDefault="00D158E7">
      <w:pPr>
        <w:spacing w:after="0" w:line="259" w:lineRule="auto"/>
        <w:ind w:left="68" w:firstLine="0"/>
        <w:jc w:val="center"/>
      </w:pPr>
      <w:r>
        <w:rPr>
          <w:b/>
        </w:rPr>
        <w:t xml:space="preserve"> </w:t>
      </w:r>
    </w:p>
    <w:p w14:paraId="2EFD86F2" w14:textId="66912609" w:rsidR="005D523F" w:rsidRDefault="00FF314A" w:rsidP="00562D99">
      <w:pPr>
        <w:spacing w:after="0" w:line="240" w:lineRule="auto"/>
        <w:ind w:left="0" w:firstLine="720"/>
        <w:jc w:val="both"/>
      </w:pPr>
      <w:r>
        <w:t>Kitsap County</w:t>
      </w:r>
      <w:r w:rsidR="005D523F">
        <w:t xml:space="preserve"> appreciates the opportunity to file comments on the Second Further Notice </w:t>
      </w:r>
      <w:r w:rsidR="00665B60">
        <w:t>of</w:t>
      </w:r>
      <w:r w:rsidR="005D523F">
        <w:t xml:space="preserve"> Proposed Rulemaking (“</w:t>
      </w:r>
      <w:r w:rsidR="005D523F" w:rsidRPr="00C26767">
        <w:t xml:space="preserve">FNPRM”) in the above-referenced docket.  </w:t>
      </w:r>
      <w:r w:rsidR="007D5D66" w:rsidRPr="00C26767">
        <w:t xml:space="preserve">Kitsap County </w:t>
      </w:r>
      <w:r w:rsidR="005D523F" w:rsidRPr="00C26767">
        <w:t>strongly oppose</w:t>
      </w:r>
      <w:r w:rsidR="007D5D66" w:rsidRPr="00C26767">
        <w:t>s</w:t>
      </w:r>
      <w:r w:rsidR="005D523F" w:rsidRPr="00C26767">
        <w:t xml:space="preserve"> the tentative conclusion</w:t>
      </w:r>
      <w:r w:rsidR="00007BBC" w:rsidRPr="00C26767">
        <w:t>s</w:t>
      </w:r>
      <w:r w:rsidR="005D523F" w:rsidRPr="00C26767">
        <w:t xml:space="preserve"> in the FNPRM that cable-related in-kind contributions </w:t>
      </w:r>
      <w:r w:rsidR="005C087F" w:rsidRPr="00C26767">
        <w:t>are</w:t>
      </w:r>
      <w:r w:rsidR="005D523F" w:rsidRPr="00C26767">
        <w:t xml:space="preserve"> franchise fees</w:t>
      </w:r>
      <w:r w:rsidR="00007BBC" w:rsidRPr="00C26767">
        <w:t xml:space="preserve"> and that </w:t>
      </w:r>
      <w:r w:rsidR="00040EE4" w:rsidRPr="00C26767">
        <w:t xml:space="preserve">local governments have no authority </w:t>
      </w:r>
      <w:r w:rsidR="003241FB" w:rsidRPr="00C26767">
        <w:t>regarding</w:t>
      </w:r>
      <w:r w:rsidR="00040EE4" w:rsidRPr="00C26767">
        <w:t xml:space="preserve"> </w:t>
      </w:r>
      <w:r w:rsidR="00007BBC" w:rsidRPr="00C26767">
        <w:t>cable operators</w:t>
      </w:r>
      <w:r w:rsidR="003241FB" w:rsidRPr="00C26767">
        <w:t>’</w:t>
      </w:r>
      <w:r w:rsidR="00007BBC" w:rsidRPr="00C26767">
        <w:t xml:space="preserve"> </w:t>
      </w:r>
      <w:r w:rsidR="003241FB" w:rsidRPr="00C26767">
        <w:t xml:space="preserve">use of the rights of way to provide </w:t>
      </w:r>
      <w:r w:rsidR="00007BBC" w:rsidRPr="00C26767">
        <w:t>non-cable services</w:t>
      </w:r>
      <w:r w:rsidR="005D523F" w:rsidRPr="00C26767">
        <w:t>.</w:t>
      </w:r>
      <w:r w:rsidR="005D523F">
        <w:t xml:space="preserve"> </w:t>
      </w:r>
    </w:p>
    <w:p w14:paraId="11677438" w14:textId="77777777" w:rsidR="00F17AA3" w:rsidRDefault="00F17AA3" w:rsidP="00ED44F8">
      <w:pPr>
        <w:spacing w:after="0" w:line="240" w:lineRule="auto"/>
        <w:ind w:left="0" w:firstLine="720"/>
        <w:jc w:val="both"/>
      </w:pPr>
    </w:p>
    <w:p w14:paraId="6D434D01" w14:textId="7F5F351C" w:rsidR="00F17AA3" w:rsidRPr="00C26767" w:rsidRDefault="00CA1E81" w:rsidP="00ED44F8">
      <w:pPr>
        <w:spacing w:after="0" w:line="240" w:lineRule="auto"/>
        <w:ind w:left="0" w:firstLine="720"/>
        <w:jc w:val="both"/>
        <w:rPr>
          <w:color w:val="auto"/>
        </w:rPr>
      </w:pPr>
      <w:r w:rsidRPr="00C26767">
        <w:t xml:space="preserve">Kitsap County </w:t>
      </w:r>
      <w:proofErr w:type="gramStart"/>
      <w:r w:rsidR="00C06B08">
        <w:t xml:space="preserve">is </w:t>
      </w:r>
      <w:r w:rsidRPr="00C26767">
        <w:t>l</w:t>
      </w:r>
      <w:r w:rsidR="00FF314A" w:rsidRPr="00C26767">
        <w:t>ocated in</w:t>
      </w:r>
      <w:proofErr w:type="gramEnd"/>
      <w:r w:rsidR="00FF314A" w:rsidRPr="00C26767">
        <w:t xml:space="preserve"> the northwestern portion of Washington State</w:t>
      </w:r>
      <w:r w:rsidRPr="00C26767">
        <w:t xml:space="preserve"> </w:t>
      </w:r>
      <w:r w:rsidR="00836956">
        <w:t xml:space="preserve">and </w:t>
      </w:r>
      <w:r w:rsidR="00FF314A" w:rsidRPr="00C26767">
        <w:t xml:space="preserve">has a </w:t>
      </w:r>
      <w:r w:rsidR="00FF314A" w:rsidRPr="00C26767">
        <w:rPr>
          <w:color w:val="auto"/>
        </w:rPr>
        <w:t xml:space="preserve">population of </w:t>
      </w:r>
      <w:r w:rsidR="007D5D66" w:rsidRPr="00C26767">
        <w:rPr>
          <w:color w:val="auto"/>
        </w:rPr>
        <w:t>approximately 270,</w:t>
      </w:r>
      <w:r w:rsidRPr="00C26767">
        <w:rPr>
          <w:color w:val="auto"/>
        </w:rPr>
        <w:t>0</w:t>
      </w:r>
      <w:r w:rsidR="007D5D66" w:rsidRPr="00C26767">
        <w:rPr>
          <w:color w:val="auto"/>
        </w:rPr>
        <w:t xml:space="preserve">00 people.  County boundaries cover 395 square miles </w:t>
      </w:r>
      <w:r w:rsidR="0008608C" w:rsidRPr="00C26767">
        <w:rPr>
          <w:color w:val="auto"/>
        </w:rPr>
        <w:t>and include four small cites</w:t>
      </w:r>
      <w:r w:rsidR="00B44D4E" w:rsidRPr="00C26767">
        <w:rPr>
          <w:rStyle w:val="FootnoteReference"/>
          <w:color w:val="auto"/>
        </w:rPr>
        <w:footnoteReference w:id="2"/>
      </w:r>
      <w:r w:rsidR="0008608C" w:rsidRPr="00C26767">
        <w:rPr>
          <w:color w:val="auto"/>
        </w:rPr>
        <w:t>, the tribal land of two Native American tribes, a U.S. Naval Base, as well as other residential areas</w:t>
      </w:r>
      <w:r w:rsidR="00C01F34" w:rsidRPr="00C26767">
        <w:rPr>
          <w:color w:val="auto"/>
        </w:rPr>
        <w:t xml:space="preserve">, many of which are rural.  </w:t>
      </w:r>
      <w:r w:rsidR="003535B1" w:rsidRPr="00C26767">
        <w:rPr>
          <w:color w:val="auto"/>
        </w:rPr>
        <w:t xml:space="preserve">Currently, the County </w:t>
      </w:r>
      <w:r w:rsidR="00334E48" w:rsidRPr="00C26767">
        <w:rPr>
          <w:color w:val="auto"/>
        </w:rPr>
        <w:t xml:space="preserve">has </w:t>
      </w:r>
      <w:r w:rsidR="00F250F1" w:rsidRPr="00C26767">
        <w:rPr>
          <w:color w:val="auto"/>
        </w:rPr>
        <w:t xml:space="preserve">franchise agreements </w:t>
      </w:r>
      <w:r w:rsidR="00334E48" w:rsidRPr="00C26767">
        <w:rPr>
          <w:color w:val="auto"/>
        </w:rPr>
        <w:t>in place with two cable operators</w:t>
      </w:r>
      <w:r w:rsidR="00ED44F8" w:rsidRPr="00C26767">
        <w:rPr>
          <w:color w:val="auto"/>
        </w:rPr>
        <w:t xml:space="preserve">, </w:t>
      </w:r>
      <w:r w:rsidR="00A07144" w:rsidRPr="00C26767">
        <w:rPr>
          <w:color w:val="auto"/>
        </w:rPr>
        <w:t>Comcast Cable Communications Management, LLC</w:t>
      </w:r>
      <w:r w:rsidR="00ED44F8" w:rsidRPr="00C26767">
        <w:rPr>
          <w:color w:val="auto"/>
        </w:rPr>
        <w:t xml:space="preserve"> (“Comcast”)</w:t>
      </w:r>
      <w:r w:rsidR="00A07144" w:rsidRPr="00C26767">
        <w:rPr>
          <w:color w:val="auto"/>
        </w:rPr>
        <w:t xml:space="preserve"> and </w:t>
      </w:r>
      <w:r w:rsidR="00B36917" w:rsidRPr="00C26767">
        <w:rPr>
          <w:color w:val="auto"/>
          <w:szCs w:val="24"/>
          <w:shd w:val="clear" w:color="auto" w:fill="FFFFFF"/>
        </w:rPr>
        <w:t>Wave Division IV, LLC</w:t>
      </w:r>
      <w:r w:rsidR="00ED44F8" w:rsidRPr="00C26767">
        <w:rPr>
          <w:color w:val="auto"/>
          <w:szCs w:val="24"/>
          <w:shd w:val="clear" w:color="auto" w:fill="FFFFFF"/>
        </w:rPr>
        <w:t xml:space="preserve"> (“Wave”)</w:t>
      </w:r>
      <w:r w:rsidR="00334E48" w:rsidRPr="00C26767">
        <w:rPr>
          <w:color w:val="auto"/>
        </w:rPr>
        <w:t>.</w:t>
      </w:r>
      <w:r w:rsidR="00A07144" w:rsidRPr="00C26767">
        <w:rPr>
          <w:rStyle w:val="FootnoteReference"/>
          <w:color w:val="auto"/>
        </w:rPr>
        <w:footnoteReference w:id="3"/>
      </w:r>
      <w:r w:rsidR="00334E48" w:rsidRPr="00C26767">
        <w:rPr>
          <w:color w:val="auto"/>
        </w:rPr>
        <w:t xml:space="preserve">  Under both </w:t>
      </w:r>
      <w:r w:rsidR="00F250F1" w:rsidRPr="00C26767">
        <w:rPr>
          <w:color w:val="auto"/>
        </w:rPr>
        <w:t>agr</w:t>
      </w:r>
      <w:r w:rsidR="00001595" w:rsidRPr="00C26767">
        <w:rPr>
          <w:color w:val="auto"/>
        </w:rPr>
        <w:t>e</w:t>
      </w:r>
      <w:r w:rsidR="00F250F1" w:rsidRPr="00C26767">
        <w:rPr>
          <w:color w:val="auto"/>
        </w:rPr>
        <w:t>ements</w:t>
      </w:r>
      <w:r w:rsidR="00334E48" w:rsidRPr="00C26767">
        <w:rPr>
          <w:color w:val="auto"/>
        </w:rPr>
        <w:t xml:space="preserve">, the cable operators pay the County a five percent (5%) franchise </w:t>
      </w:r>
      <w:r w:rsidR="003649EC" w:rsidRPr="00C26767">
        <w:rPr>
          <w:color w:val="auto"/>
        </w:rPr>
        <w:t>fee.</w:t>
      </w:r>
      <w:r w:rsidR="003325FF" w:rsidRPr="00C26767">
        <w:rPr>
          <w:color w:val="auto"/>
        </w:rPr>
        <w:t xml:space="preserve">  </w:t>
      </w:r>
      <w:r w:rsidR="00F17AA3" w:rsidRPr="00C26767">
        <w:rPr>
          <w:color w:val="auto"/>
        </w:rPr>
        <w:t xml:space="preserve">These fees are </w:t>
      </w:r>
      <w:r w:rsidRPr="00C26767">
        <w:rPr>
          <w:color w:val="auto"/>
        </w:rPr>
        <w:t xml:space="preserve">collected in the </w:t>
      </w:r>
      <w:r w:rsidR="009A4441">
        <w:rPr>
          <w:color w:val="auto"/>
        </w:rPr>
        <w:t xml:space="preserve">County’s </w:t>
      </w:r>
      <w:r w:rsidRPr="00C26767">
        <w:rPr>
          <w:color w:val="auto"/>
        </w:rPr>
        <w:t xml:space="preserve">General fund and </w:t>
      </w:r>
      <w:r w:rsidR="00C06B08">
        <w:rPr>
          <w:color w:val="auto"/>
        </w:rPr>
        <w:t xml:space="preserve">used to </w:t>
      </w:r>
      <w:r w:rsidRPr="00C26767">
        <w:rPr>
          <w:color w:val="auto"/>
        </w:rPr>
        <w:t>support various budget line items</w:t>
      </w:r>
      <w:r w:rsidR="00C06B08">
        <w:rPr>
          <w:color w:val="auto"/>
        </w:rPr>
        <w:t>.</w:t>
      </w:r>
    </w:p>
    <w:p w14:paraId="0EA493F8" w14:textId="77777777" w:rsidR="00F17AA3" w:rsidRPr="00C26767" w:rsidRDefault="00F17AA3" w:rsidP="00F17AA3">
      <w:pPr>
        <w:spacing w:after="0" w:line="240" w:lineRule="auto"/>
        <w:ind w:left="0" w:firstLine="720"/>
        <w:jc w:val="both"/>
        <w:rPr>
          <w:color w:val="auto"/>
        </w:rPr>
      </w:pPr>
    </w:p>
    <w:p w14:paraId="2914BB62" w14:textId="241A5484" w:rsidR="00627400" w:rsidRDefault="003325FF" w:rsidP="00627400">
      <w:pPr>
        <w:spacing w:after="0" w:line="240" w:lineRule="auto"/>
        <w:ind w:left="0" w:firstLine="720"/>
        <w:jc w:val="both"/>
      </w:pPr>
      <w:r w:rsidRPr="00C26767">
        <w:rPr>
          <w:color w:val="auto"/>
        </w:rPr>
        <w:t xml:space="preserve">Additionally, the cable operators provide </w:t>
      </w:r>
      <w:r w:rsidR="00CA1E81" w:rsidRPr="00C26767">
        <w:rPr>
          <w:color w:val="auto"/>
        </w:rPr>
        <w:t>for only one (1)</w:t>
      </w:r>
      <w:r w:rsidRPr="00C26767">
        <w:rPr>
          <w:color w:val="auto"/>
        </w:rPr>
        <w:t xml:space="preserve"> </w:t>
      </w:r>
      <w:r w:rsidR="00DA31A7" w:rsidRPr="00C26767">
        <w:rPr>
          <w:color w:val="auto"/>
        </w:rPr>
        <w:t>Public, Educational, and Governmental (PEG) access channel, with the option for a</w:t>
      </w:r>
      <w:r w:rsidR="00CA1E81" w:rsidRPr="00C26767">
        <w:rPr>
          <w:color w:val="auto"/>
        </w:rPr>
        <w:t xml:space="preserve">dditional </w:t>
      </w:r>
      <w:r w:rsidR="00562D99" w:rsidRPr="00C26767">
        <w:rPr>
          <w:color w:val="auto"/>
        </w:rPr>
        <w:t>channel</w:t>
      </w:r>
      <w:r w:rsidR="00CA1E81" w:rsidRPr="00C26767">
        <w:rPr>
          <w:color w:val="auto"/>
        </w:rPr>
        <w:t>s</w:t>
      </w:r>
      <w:r w:rsidR="00562D99" w:rsidRPr="00C26767">
        <w:rPr>
          <w:color w:val="auto"/>
        </w:rPr>
        <w:t xml:space="preserve">, </w:t>
      </w:r>
      <w:r w:rsidR="00B36917" w:rsidRPr="00C26767">
        <w:rPr>
          <w:color w:val="auto"/>
        </w:rPr>
        <w:t xml:space="preserve">as well as provide </w:t>
      </w:r>
      <w:r w:rsidR="00562D99" w:rsidRPr="00C26767">
        <w:rPr>
          <w:color w:val="auto"/>
        </w:rPr>
        <w:t>access to services for County subscribers with disabilities</w:t>
      </w:r>
      <w:r w:rsidR="00B36917" w:rsidRPr="00C26767">
        <w:rPr>
          <w:color w:val="auto"/>
        </w:rPr>
        <w:t xml:space="preserve"> and</w:t>
      </w:r>
      <w:r w:rsidR="00562D99" w:rsidRPr="00C26767">
        <w:rPr>
          <w:color w:val="auto"/>
        </w:rPr>
        <w:t xml:space="preserve"> parental contr</w:t>
      </w:r>
      <w:r w:rsidR="00422F4D" w:rsidRPr="00C26767">
        <w:rPr>
          <w:color w:val="auto"/>
        </w:rPr>
        <w:t>ol devices</w:t>
      </w:r>
      <w:r w:rsidR="00B36917" w:rsidRPr="00C26767">
        <w:rPr>
          <w:color w:val="auto"/>
        </w:rPr>
        <w:t xml:space="preserve">.  </w:t>
      </w:r>
      <w:r w:rsidR="00CA1E81" w:rsidRPr="00C26767">
        <w:rPr>
          <w:color w:val="auto"/>
        </w:rPr>
        <w:t>Co</w:t>
      </w:r>
      <w:r w:rsidR="00205074" w:rsidRPr="00C26767">
        <w:rPr>
          <w:color w:val="auto"/>
        </w:rPr>
        <w:t>m</w:t>
      </w:r>
      <w:r w:rsidR="00CA1E81" w:rsidRPr="00C26767">
        <w:rPr>
          <w:color w:val="auto"/>
        </w:rPr>
        <w:t xml:space="preserve">cast and Wave </w:t>
      </w:r>
      <w:r w:rsidR="00205074" w:rsidRPr="00C26767">
        <w:rPr>
          <w:color w:val="auto"/>
        </w:rPr>
        <w:t>submit a PEG Support fee of $</w:t>
      </w:r>
      <w:r w:rsidR="001A50C9">
        <w:rPr>
          <w:color w:val="auto"/>
        </w:rPr>
        <w:t>0</w:t>
      </w:r>
      <w:r w:rsidR="00205074" w:rsidRPr="00C26767">
        <w:rPr>
          <w:color w:val="auto"/>
        </w:rPr>
        <w:t xml:space="preserve">.25 per subscriber.  These funds are used to support our </w:t>
      </w:r>
      <w:r w:rsidR="00F17AA3" w:rsidRPr="00C26767">
        <w:rPr>
          <w:color w:val="auto"/>
        </w:rPr>
        <w:t>PEG Channel</w:t>
      </w:r>
      <w:r w:rsidR="00C06B08">
        <w:rPr>
          <w:color w:val="auto"/>
        </w:rPr>
        <w:t>,</w:t>
      </w:r>
      <w:r w:rsidR="00205074" w:rsidRPr="00C26767">
        <w:rPr>
          <w:color w:val="auto"/>
        </w:rPr>
        <w:t xml:space="preserve"> Bremerton Kitsap Access Channel</w:t>
      </w:r>
      <w:r w:rsidR="00C06B08">
        <w:rPr>
          <w:color w:val="auto"/>
        </w:rPr>
        <w:t>,</w:t>
      </w:r>
      <w:r w:rsidR="00205074" w:rsidRPr="00C26767">
        <w:rPr>
          <w:color w:val="auto"/>
        </w:rPr>
        <w:t xml:space="preserve"> </w:t>
      </w:r>
      <w:r w:rsidR="00C06B08">
        <w:rPr>
          <w:color w:val="auto"/>
        </w:rPr>
        <w:t xml:space="preserve">in the areas of </w:t>
      </w:r>
      <w:r w:rsidR="00205074" w:rsidRPr="00C26767">
        <w:rPr>
          <w:color w:val="auto"/>
        </w:rPr>
        <w:t>broadcast</w:t>
      </w:r>
      <w:r w:rsidR="00627400">
        <w:rPr>
          <w:color w:val="auto"/>
        </w:rPr>
        <w:t>ing</w:t>
      </w:r>
      <w:r w:rsidR="00205074" w:rsidRPr="00C26767">
        <w:rPr>
          <w:color w:val="auto"/>
        </w:rPr>
        <w:t xml:space="preserve"> and public training.</w:t>
      </w:r>
      <w:r w:rsidR="00C26767">
        <w:rPr>
          <w:color w:val="auto"/>
        </w:rPr>
        <w:t xml:space="preserve">  For example, </w:t>
      </w:r>
      <w:r w:rsidR="00316C67">
        <w:rPr>
          <w:color w:val="auto"/>
        </w:rPr>
        <w:t xml:space="preserve">using PEG Support fees, </w:t>
      </w:r>
      <w:r w:rsidR="00C26767">
        <w:rPr>
          <w:color w:val="auto"/>
        </w:rPr>
        <w:t xml:space="preserve">the County recently purchased equipment to improve the broadcasting </w:t>
      </w:r>
      <w:r w:rsidR="00627400">
        <w:rPr>
          <w:color w:val="auto"/>
        </w:rPr>
        <w:t xml:space="preserve">capabilities </w:t>
      </w:r>
      <w:r w:rsidR="00827AF0">
        <w:rPr>
          <w:color w:val="auto"/>
        </w:rPr>
        <w:t>for</w:t>
      </w:r>
      <w:r w:rsidR="00C26767">
        <w:rPr>
          <w:color w:val="auto"/>
        </w:rPr>
        <w:t xml:space="preserve"> </w:t>
      </w:r>
      <w:r w:rsidR="001A50C9">
        <w:rPr>
          <w:color w:val="auto"/>
        </w:rPr>
        <w:t xml:space="preserve">County </w:t>
      </w:r>
      <w:r w:rsidR="00C26767">
        <w:rPr>
          <w:color w:val="auto"/>
        </w:rPr>
        <w:t>government</w:t>
      </w:r>
      <w:r w:rsidR="001A7075">
        <w:rPr>
          <w:color w:val="auto"/>
        </w:rPr>
        <w:t xml:space="preserve"> meetings to help </w:t>
      </w:r>
      <w:r w:rsidR="00C26767">
        <w:rPr>
          <w:color w:val="auto"/>
        </w:rPr>
        <w:t xml:space="preserve">ensure County residents </w:t>
      </w:r>
      <w:r w:rsidR="001A7075">
        <w:rPr>
          <w:color w:val="auto"/>
        </w:rPr>
        <w:t xml:space="preserve">are </w:t>
      </w:r>
      <w:r w:rsidR="00C26767">
        <w:rPr>
          <w:color w:val="auto"/>
        </w:rPr>
        <w:t xml:space="preserve">informed of the decisions made by local government and </w:t>
      </w:r>
      <w:r w:rsidR="001A7075">
        <w:rPr>
          <w:color w:val="auto"/>
        </w:rPr>
        <w:t xml:space="preserve">to </w:t>
      </w:r>
      <w:r w:rsidR="00C26767">
        <w:rPr>
          <w:color w:val="auto"/>
        </w:rPr>
        <w:t xml:space="preserve">support </w:t>
      </w:r>
      <w:r w:rsidR="00316C67">
        <w:rPr>
          <w:color w:val="auto"/>
        </w:rPr>
        <w:t xml:space="preserve">a </w:t>
      </w:r>
      <w:r w:rsidR="00C26767">
        <w:rPr>
          <w:color w:val="auto"/>
        </w:rPr>
        <w:t>policy of open</w:t>
      </w:r>
      <w:r w:rsidR="00C06B08">
        <w:rPr>
          <w:color w:val="auto"/>
        </w:rPr>
        <w:t xml:space="preserve"> and accessible</w:t>
      </w:r>
      <w:r w:rsidR="00C26767">
        <w:rPr>
          <w:color w:val="auto"/>
        </w:rPr>
        <w:t xml:space="preserve"> government.  </w:t>
      </w:r>
      <w:r w:rsidR="00627400">
        <w:t xml:space="preserve"> </w:t>
      </w:r>
    </w:p>
    <w:p w14:paraId="0142B775" w14:textId="74EFB9DE" w:rsidR="00F17AA3" w:rsidRPr="00ED44F8" w:rsidRDefault="00F17AA3" w:rsidP="00F17AA3">
      <w:pPr>
        <w:spacing w:after="0" w:line="240" w:lineRule="auto"/>
        <w:ind w:left="0" w:firstLine="720"/>
        <w:jc w:val="both"/>
        <w:rPr>
          <w:color w:val="auto"/>
        </w:rPr>
      </w:pPr>
    </w:p>
    <w:p w14:paraId="57A7FE93" w14:textId="7863069D" w:rsidR="00ED44F8" w:rsidRPr="00271BB6" w:rsidRDefault="00ED44F8" w:rsidP="00ED44F8">
      <w:pPr>
        <w:spacing w:after="0" w:line="240" w:lineRule="auto"/>
        <w:ind w:left="0" w:firstLine="720"/>
        <w:jc w:val="both"/>
        <w:rPr>
          <w:color w:val="auto"/>
          <w:szCs w:val="24"/>
          <w:shd w:val="clear" w:color="auto" w:fill="FFFFFF"/>
        </w:rPr>
      </w:pPr>
    </w:p>
    <w:p w14:paraId="4C2FD0BE" w14:textId="2B9919EE" w:rsidR="006317A6" w:rsidRDefault="005D362D" w:rsidP="006317A6">
      <w:pPr>
        <w:spacing w:after="0" w:line="240" w:lineRule="auto"/>
        <w:ind w:left="0" w:firstLine="720"/>
        <w:jc w:val="both"/>
      </w:pPr>
      <w:r>
        <w:rPr>
          <w:color w:val="221F1F"/>
        </w:rPr>
        <w:lastRenderedPageBreak/>
        <w:t>Public</w:t>
      </w:r>
      <w:r w:rsidR="001A50C9">
        <w:rPr>
          <w:color w:val="221F1F"/>
        </w:rPr>
        <w:t xml:space="preserve">, Educational, </w:t>
      </w:r>
      <w:r>
        <w:rPr>
          <w:color w:val="221F1F"/>
        </w:rPr>
        <w:t>and</w:t>
      </w:r>
      <w:r>
        <w:rPr>
          <w:color w:val="221F1F"/>
          <w:spacing w:val="-14"/>
        </w:rPr>
        <w:t xml:space="preserve"> </w:t>
      </w:r>
      <w:r>
        <w:rPr>
          <w:color w:val="221F1F"/>
        </w:rPr>
        <w:t>Government</w:t>
      </w:r>
      <w:r>
        <w:rPr>
          <w:color w:val="221F1F"/>
          <w:spacing w:val="-14"/>
        </w:rPr>
        <w:t xml:space="preserve"> </w:t>
      </w:r>
      <w:r>
        <w:rPr>
          <w:color w:val="221F1F"/>
        </w:rPr>
        <w:t>access</w:t>
      </w:r>
      <w:r>
        <w:rPr>
          <w:color w:val="221F1F"/>
          <w:spacing w:val="-14"/>
        </w:rPr>
        <w:t xml:space="preserve"> </w:t>
      </w:r>
      <w:r>
        <w:rPr>
          <w:color w:val="221F1F"/>
        </w:rPr>
        <w:t>television</w:t>
      </w:r>
      <w:r>
        <w:rPr>
          <w:color w:val="221F1F"/>
          <w:spacing w:val="-14"/>
        </w:rPr>
        <w:t xml:space="preserve"> </w:t>
      </w:r>
      <w:r>
        <w:rPr>
          <w:color w:val="221F1F"/>
        </w:rPr>
        <w:t>is</w:t>
      </w:r>
      <w:r>
        <w:rPr>
          <w:color w:val="221F1F"/>
          <w:spacing w:val="-14"/>
        </w:rPr>
        <w:t xml:space="preserve"> </w:t>
      </w:r>
      <w:r>
        <w:rPr>
          <w:color w:val="221F1F"/>
        </w:rPr>
        <w:t>for</w:t>
      </w:r>
      <w:r>
        <w:rPr>
          <w:color w:val="221F1F"/>
          <w:spacing w:val="-16"/>
        </w:rPr>
        <w:t xml:space="preserve"> </w:t>
      </w:r>
      <w:r>
        <w:rPr>
          <w:color w:val="221F1F"/>
        </w:rPr>
        <w:t>the</w:t>
      </w:r>
      <w:r>
        <w:rPr>
          <w:color w:val="221F1F"/>
          <w:spacing w:val="-15"/>
        </w:rPr>
        <w:t xml:space="preserve"> </w:t>
      </w:r>
      <w:r>
        <w:rPr>
          <w:color w:val="221F1F"/>
        </w:rPr>
        <w:t>benefit</w:t>
      </w:r>
      <w:r>
        <w:rPr>
          <w:color w:val="221F1F"/>
          <w:spacing w:val="-14"/>
        </w:rPr>
        <w:t xml:space="preserve"> </w:t>
      </w:r>
      <w:r>
        <w:rPr>
          <w:color w:val="221F1F"/>
        </w:rPr>
        <w:t>of</w:t>
      </w:r>
      <w:r>
        <w:rPr>
          <w:color w:val="221F1F"/>
          <w:spacing w:val="-15"/>
        </w:rPr>
        <w:t xml:space="preserve"> </w:t>
      </w:r>
      <w:r>
        <w:rPr>
          <w:color w:val="221F1F"/>
        </w:rPr>
        <w:t>the</w:t>
      </w:r>
      <w:r>
        <w:rPr>
          <w:color w:val="221F1F"/>
          <w:spacing w:val="-15"/>
        </w:rPr>
        <w:t xml:space="preserve"> </w:t>
      </w:r>
      <w:r>
        <w:rPr>
          <w:color w:val="221F1F"/>
        </w:rPr>
        <w:t>whole</w:t>
      </w:r>
      <w:r w:rsidR="001A50C9">
        <w:rPr>
          <w:color w:val="221F1F"/>
        </w:rPr>
        <w:t xml:space="preserve"> Kitsap County</w:t>
      </w:r>
      <w:r>
        <w:rPr>
          <w:color w:val="221F1F"/>
          <w:spacing w:val="-15"/>
        </w:rPr>
        <w:t xml:space="preserve"> </w:t>
      </w:r>
      <w:r>
        <w:rPr>
          <w:color w:val="221F1F"/>
        </w:rPr>
        <w:t>community</w:t>
      </w:r>
      <w:r w:rsidR="001A50C9">
        <w:rPr>
          <w:color w:val="221F1F"/>
        </w:rPr>
        <w:t xml:space="preserve">. </w:t>
      </w:r>
      <w:r>
        <w:rPr>
          <w:color w:val="221F1F"/>
        </w:rPr>
        <w:t xml:space="preserve"> </w:t>
      </w:r>
      <w:r w:rsidR="001A50C9">
        <w:rPr>
          <w:color w:val="221F1F"/>
        </w:rPr>
        <w:t>Local s</w:t>
      </w:r>
      <w:r>
        <w:rPr>
          <w:color w:val="221F1F"/>
        </w:rPr>
        <w:t>chool</w:t>
      </w:r>
      <w:r w:rsidR="001A50C9">
        <w:rPr>
          <w:color w:val="221F1F"/>
        </w:rPr>
        <w:t>s</w:t>
      </w:r>
      <w:r>
        <w:rPr>
          <w:color w:val="221F1F"/>
        </w:rPr>
        <w:t>, non-profit</w:t>
      </w:r>
      <w:r w:rsidR="001A50C9">
        <w:rPr>
          <w:color w:val="221F1F"/>
        </w:rPr>
        <w:t>s</w:t>
      </w:r>
      <w:r>
        <w:rPr>
          <w:color w:val="221F1F"/>
        </w:rPr>
        <w:t xml:space="preserve">, </w:t>
      </w:r>
      <w:r w:rsidR="0055447F">
        <w:rPr>
          <w:color w:val="221F1F"/>
        </w:rPr>
        <w:t xml:space="preserve">and </w:t>
      </w:r>
      <w:r>
        <w:rPr>
          <w:color w:val="221F1F"/>
        </w:rPr>
        <w:t>individuals</w:t>
      </w:r>
      <w:r w:rsidR="0055447F">
        <w:rPr>
          <w:color w:val="221F1F"/>
        </w:rPr>
        <w:t>, along with the County,</w:t>
      </w:r>
      <w:r>
        <w:rPr>
          <w:color w:val="221F1F"/>
        </w:rPr>
        <w:t xml:space="preserve"> produce local programming of local interest. </w:t>
      </w:r>
      <w:r w:rsidR="00316C67">
        <w:rPr>
          <w:color w:val="221F1F"/>
        </w:rPr>
        <w:t xml:space="preserve"> </w:t>
      </w:r>
      <w:r>
        <w:rPr>
          <w:color w:val="221F1F"/>
        </w:rPr>
        <w:t>Our small communities</w:t>
      </w:r>
      <w:r>
        <w:rPr>
          <w:color w:val="221F1F"/>
          <w:spacing w:val="-7"/>
        </w:rPr>
        <w:t xml:space="preserve"> </w:t>
      </w:r>
      <w:r>
        <w:rPr>
          <w:color w:val="221F1F"/>
        </w:rPr>
        <w:t>do</w:t>
      </w:r>
      <w:r>
        <w:rPr>
          <w:color w:val="221F1F"/>
          <w:spacing w:val="-6"/>
        </w:rPr>
        <w:t xml:space="preserve"> </w:t>
      </w:r>
      <w:r w:rsidR="0055447F">
        <w:rPr>
          <w:color w:val="221F1F"/>
          <w:spacing w:val="-6"/>
        </w:rPr>
        <w:t>not</w:t>
      </w:r>
      <w:r w:rsidR="00316C67">
        <w:rPr>
          <w:color w:val="221F1F"/>
          <w:spacing w:val="-6"/>
        </w:rPr>
        <w:t xml:space="preserve"> </w:t>
      </w:r>
      <w:r>
        <w:rPr>
          <w:color w:val="221F1F"/>
        </w:rPr>
        <w:t>have</w:t>
      </w:r>
      <w:r>
        <w:rPr>
          <w:color w:val="221F1F"/>
          <w:spacing w:val="-5"/>
        </w:rPr>
        <w:t xml:space="preserve"> </w:t>
      </w:r>
      <w:r>
        <w:rPr>
          <w:color w:val="221F1F"/>
        </w:rPr>
        <w:t>a</w:t>
      </w:r>
      <w:r>
        <w:rPr>
          <w:color w:val="221F1F"/>
          <w:spacing w:val="-7"/>
        </w:rPr>
        <w:t xml:space="preserve"> </w:t>
      </w:r>
      <w:r>
        <w:rPr>
          <w:color w:val="221F1F"/>
        </w:rPr>
        <w:t>voice</w:t>
      </w:r>
      <w:r>
        <w:rPr>
          <w:color w:val="221F1F"/>
          <w:spacing w:val="-6"/>
        </w:rPr>
        <w:t xml:space="preserve"> </w:t>
      </w:r>
      <w:r>
        <w:rPr>
          <w:color w:val="221F1F"/>
        </w:rPr>
        <w:t>or</w:t>
      </w:r>
      <w:r>
        <w:rPr>
          <w:color w:val="221F1F"/>
          <w:spacing w:val="-5"/>
        </w:rPr>
        <w:t xml:space="preserve"> </w:t>
      </w:r>
      <w:r>
        <w:rPr>
          <w:color w:val="221F1F"/>
        </w:rPr>
        <w:t>representation</w:t>
      </w:r>
      <w:r>
        <w:rPr>
          <w:color w:val="221F1F"/>
          <w:spacing w:val="-6"/>
        </w:rPr>
        <w:t xml:space="preserve"> </w:t>
      </w:r>
      <w:r>
        <w:rPr>
          <w:color w:val="221F1F"/>
        </w:rPr>
        <w:t>by</w:t>
      </w:r>
      <w:r>
        <w:rPr>
          <w:color w:val="221F1F"/>
          <w:spacing w:val="-9"/>
        </w:rPr>
        <w:t xml:space="preserve"> </w:t>
      </w:r>
      <w:r>
        <w:rPr>
          <w:color w:val="221F1F"/>
        </w:rPr>
        <w:t>a</w:t>
      </w:r>
      <w:r>
        <w:rPr>
          <w:color w:val="221F1F"/>
          <w:spacing w:val="-7"/>
        </w:rPr>
        <w:t xml:space="preserve"> </w:t>
      </w:r>
      <w:r>
        <w:rPr>
          <w:color w:val="221F1F"/>
        </w:rPr>
        <w:t>local</w:t>
      </w:r>
      <w:r>
        <w:rPr>
          <w:color w:val="221F1F"/>
          <w:spacing w:val="-6"/>
        </w:rPr>
        <w:t xml:space="preserve"> </w:t>
      </w:r>
      <w:r>
        <w:rPr>
          <w:color w:val="221F1F"/>
        </w:rPr>
        <w:t>news</w:t>
      </w:r>
      <w:r>
        <w:rPr>
          <w:color w:val="221F1F"/>
          <w:spacing w:val="-7"/>
        </w:rPr>
        <w:t xml:space="preserve"> </w:t>
      </w:r>
      <w:r>
        <w:rPr>
          <w:color w:val="221F1F"/>
        </w:rPr>
        <w:t xml:space="preserve">channel. </w:t>
      </w:r>
      <w:r w:rsidR="00316C67">
        <w:rPr>
          <w:color w:val="221F1F"/>
        </w:rPr>
        <w:t xml:space="preserve"> </w:t>
      </w:r>
      <w:r>
        <w:rPr>
          <w:color w:val="221F1F"/>
        </w:rPr>
        <w:t>Community</w:t>
      </w:r>
      <w:r>
        <w:rPr>
          <w:color w:val="221F1F"/>
          <w:spacing w:val="-21"/>
        </w:rPr>
        <w:t xml:space="preserve"> </w:t>
      </w:r>
      <w:r>
        <w:rPr>
          <w:color w:val="221F1F"/>
        </w:rPr>
        <w:t>Access</w:t>
      </w:r>
      <w:r>
        <w:rPr>
          <w:color w:val="221F1F"/>
          <w:spacing w:val="-13"/>
        </w:rPr>
        <w:t xml:space="preserve"> </w:t>
      </w:r>
      <w:r w:rsidR="00411B25">
        <w:rPr>
          <w:color w:val="221F1F"/>
          <w:spacing w:val="-13"/>
        </w:rPr>
        <w:t xml:space="preserve">provides this voice for </w:t>
      </w:r>
      <w:r w:rsidR="00411B25">
        <w:rPr>
          <w:color w:val="221F1F"/>
        </w:rPr>
        <w:t>all</w:t>
      </w:r>
      <w:r w:rsidR="00411B25">
        <w:rPr>
          <w:color w:val="221F1F"/>
          <w:spacing w:val="-13"/>
        </w:rPr>
        <w:t xml:space="preserve"> </w:t>
      </w:r>
      <w:r w:rsidR="00411B25">
        <w:rPr>
          <w:color w:val="221F1F"/>
        </w:rPr>
        <w:t>genders,</w:t>
      </w:r>
      <w:r w:rsidR="00411B25">
        <w:rPr>
          <w:color w:val="221F1F"/>
          <w:spacing w:val="-14"/>
        </w:rPr>
        <w:t xml:space="preserve"> </w:t>
      </w:r>
      <w:r w:rsidR="00411B25">
        <w:rPr>
          <w:color w:val="221F1F"/>
        </w:rPr>
        <w:t>races,</w:t>
      </w:r>
      <w:r w:rsidR="00411B25">
        <w:rPr>
          <w:color w:val="221F1F"/>
          <w:spacing w:val="-11"/>
        </w:rPr>
        <w:t xml:space="preserve"> </w:t>
      </w:r>
      <w:r w:rsidR="00411B25">
        <w:rPr>
          <w:color w:val="221F1F"/>
        </w:rPr>
        <w:t>ages,</w:t>
      </w:r>
      <w:r w:rsidR="00411B25">
        <w:rPr>
          <w:color w:val="221F1F"/>
          <w:spacing w:val="-13"/>
        </w:rPr>
        <w:t xml:space="preserve"> and </w:t>
      </w:r>
      <w:r w:rsidR="00411B25">
        <w:rPr>
          <w:color w:val="221F1F"/>
        </w:rPr>
        <w:t>opinions a</w:t>
      </w:r>
      <w:r w:rsidR="00411B25">
        <w:rPr>
          <w:color w:val="221F1F"/>
          <w:spacing w:val="-13"/>
        </w:rPr>
        <w:t xml:space="preserve">nd </w:t>
      </w:r>
      <w:r>
        <w:rPr>
          <w:color w:val="221F1F"/>
        </w:rPr>
        <w:t>support</w:t>
      </w:r>
      <w:r w:rsidR="00411B25">
        <w:rPr>
          <w:color w:val="221F1F"/>
        </w:rPr>
        <w:t xml:space="preserve">s </w:t>
      </w:r>
      <w:r w:rsidR="0055447F">
        <w:rPr>
          <w:color w:val="221F1F"/>
        </w:rPr>
        <w:t xml:space="preserve">the principles of </w:t>
      </w:r>
      <w:r>
        <w:rPr>
          <w:color w:val="221F1F"/>
        </w:rPr>
        <w:t>freedom</w:t>
      </w:r>
      <w:r>
        <w:rPr>
          <w:color w:val="221F1F"/>
          <w:spacing w:val="-13"/>
        </w:rPr>
        <w:t xml:space="preserve"> </w:t>
      </w:r>
      <w:r>
        <w:rPr>
          <w:color w:val="221F1F"/>
        </w:rPr>
        <w:t>of</w:t>
      </w:r>
      <w:r>
        <w:rPr>
          <w:color w:val="221F1F"/>
          <w:spacing w:val="-12"/>
        </w:rPr>
        <w:t xml:space="preserve"> </w:t>
      </w:r>
      <w:r>
        <w:rPr>
          <w:color w:val="221F1F"/>
        </w:rPr>
        <w:t>speech</w:t>
      </w:r>
      <w:r w:rsidR="00411B25">
        <w:rPr>
          <w:color w:val="221F1F"/>
        </w:rPr>
        <w:t xml:space="preserve"> and freedom of the press.</w:t>
      </w:r>
      <w:r w:rsidR="0055447F">
        <w:rPr>
          <w:color w:val="221F1F"/>
        </w:rPr>
        <w:t xml:space="preserve">  The reduction or elimination of PEG Support fees would threaten the </w:t>
      </w:r>
      <w:r w:rsidR="00837169">
        <w:rPr>
          <w:color w:val="221F1F"/>
        </w:rPr>
        <w:t xml:space="preserve">already limited </w:t>
      </w:r>
      <w:r w:rsidR="0055447F">
        <w:rPr>
          <w:color w:val="221F1F"/>
        </w:rPr>
        <w:t>voice of the people of Kitsap County</w:t>
      </w:r>
      <w:r w:rsidR="00EE71C9">
        <w:rPr>
          <w:color w:val="221F1F"/>
        </w:rPr>
        <w:t>.</w:t>
      </w:r>
      <w:r w:rsidR="006317A6">
        <w:rPr>
          <w:color w:val="221F1F"/>
        </w:rPr>
        <w:t xml:space="preserve"> </w:t>
      </w:r>
      <w:r w:rsidR="00837169">
        <w:rPr>
          <w:color w:val="221F1F"/>
        </w:rPr>
        <w:t xml:space="preserve"> </w:t>
      </w:r>
      <w:r w:rsidR="00EE71C9">
        <w:t>Further, the County is in the process of conducting a community needs assessment, which has resulted in a windfall of information from the public that the County has not yet been able to fully process.  However, initial results reveal that there are many needs in our community which the public believes could be supported by increased access to local PEG channels.</w:t>
      </w:r>
      <w:r w:rsidR="00837169">
        <w:t xml:space="preserve">  </w:t>
      </w:r>
      <w:r w:rsidR="00837169">
        <w:rPr>
          <w:color w:val="221F1F"/>
        </w:rPr>
        <w:t>The reduction or elimination of PEG Support fees would</w:t>
      </w:r>
      <w:r w:rsidR="00837169">
        <w:t xml:space="preserve"> eliminate the possibility of the County expanding PEG channels to support the increased needs in our community. </w:t>
      </w:r>
      <w:r w:rsidR="000C7C22">
        <w:t xml:space="preserve"> </w:t>
      </w:r>
      <w:r w:rsidR="0041458C">
        <w:t>Kitsap County asks that the FCC reject the view that f</w:t>
      </w:r>
      <w:r w:rsidR="00EE71C9">
        <w:rPr>
          <w:color w:val="221F1F"/>
        </w:rPr>
        <w:t xml:space="preserve">ranchise obligations </w:t>
      </w:r>
      <w:r w:rsidR="00EE71C9">
        <w:t xml:space="preserve">be considered franchise fees, but </w:t>
      </w:r>
      <w:r w:rsidR="0041458C">
        <w:t xml:space="preserve">instead, </w:t>
      </w:r>
      <w:r w:rsidR="00EE71C9">
        <w:t xml:space="preserve">more appropriately considered </w:t>
      </w:r>
      <w:r w:rsidR="0041458C">
        <w:t xml:space="preserve">the obligations to be </w:t>
      </w:r>
      <w:r w:rsidR="00EE71C9">
        <w:t xml:space="preserve">community benefits.  </w:t>
      </w:r>
    </w:p>
    <w:p w14:paraId="51131252" w14:textId="77777777" w:rsidR="00316C67" w:rsidRDefault="00316C67" w:rsidP="005D362D">
      <w:pPr>
        <w:pStyle w:val="BodyText"/>
        <w:spacing w:before="9"/>
        <w:ind w:left="100" w:right="103" w:firstLine="719"/>
        <w:jc w:val="both"/>
      </w:pPr>
    </w:p>
    <w:p w14:paraId="35624292" w14:textId="181D6666" w:rsidR="005D362D" w:rsidRDefault="000C7C22" w:rsidP="005D362D">
      <w:pPr>
        <w:pStyle w:val="BodyText"/>
        <w:spacing w:before="9"/>
        <w:ind w:left="100" w:right="98" w:firstLine="719"/>
        <w:jc w:val="both"/>
      </w:pPr>
      <w:r>
        <w:rPr>
          <w:color w:val="221F1F"/>
        </w:rPr>
        <w:t>Additionally,</w:t>
      </w:r>
      <w:r w:rsidR="00CE2A7B" w:rsidRPr="00CE2A7B">
        <w:rPr>
          <w:color w:val="221F1F"/>
        </w:rPr>
        <w:t xml:space="preserve"> </w:t>
      </w:r>
      <w:r w:rsidR="00CE2A7B">
        <w:rPr>
          <w:color w:val="221F1F"/>
        </w:rPr>
        <w:t xml:space="preserve">the County asks that the FCC not limit the County’s ability to regulate a cable operator’s use of the right of way to provide non-cable services. </w:t>
      </w:r>
      <w:r>
        <w:rPr>
          <w:color w:val="221F1F"/>
        </w:rPr>
        <w:t xml:space="preserve"> </w:t>
      </w:r>
      <w:r w:rsidR="00CE2A7B">
        <w:rPr>
          <w:color w:val="221F1F"/>
        </w:rPr>
        <w:t>T</w:t>
      </w:r>
      <w:r>
        <w:rPr>
          <w:color w:val="221F1F"/>
        </w:rPr>
        <w:t xml:space="preserve">he County </w:t>
      </w:r>
      <w:r w:rsidR="005D362D">
        <w:rPr>
          <w:color w:val="221F1F"/>
        </w:rPr>
        <w:t xml:space="preserve">must protect </w:t>
      </w:r>
      <w:r>
        <w:rPr>
          <w:color w:val="221F1F"/>
        </w:rPr>
        <w:t>its</w:t>
      </w:r>
      <w:r w:rsidR="005D362D">
        <w:rPr>
          <w:color w:val="221F1F"/>
        </w:rPr>
        <w:t xml:space="preserve"> citizens rights of way and its uses. </w:t>
      </w:r>
      <w:r w:rsidR="00CE2A7B">
        <w:rPr>
          <w:color w:val="221F1F"/>
        </w:rPr>
        <w:t xml:space="preserve"> </w:t>
      </w:r>
      <w:r w:rsidR="005D362D">
        <w:rPr>
          <w:color w:val="221F1F"/>
        </w:rPr>
        <w:t xml:space="preserve">It is </w:t>
      </w:r>
      <w:r>
        <w:rPr>
          <w:color w:val="221F1F"/>
        </w:rPr>
        <w:t xml:space="preserve">the County’s </w:t>
      </w:r>
      <w:r w:rsidR="005D362D">
        <w:rPr>
          <w:color w:val="221F1F"/>
        </w:rPr>
        <w:t>responsibility to look at all uses</w:t>
      </w:r>
      <w:r>
        <w:rPr>
          <w:color w:val="221F1F"/>
        </w:rPr>
        <w:t>, i</w:t>
      </w:r>
      <w:r w:rsidR="005D362D">
        <w:rPr>
          <w:color w:val="221F1F"/>
        </w:rPr>
        <w:t>ncluding wireless efforts by companies looking to make a profit from right of way</w:t>
      </w:r>
      <w:r w:rsidR="005D362D">
        <w:rPr>
          <w:color w:val="221F1F"/>
          <w:spacing w:val="-12"/>
        </w:rPr>
        <w:t xml:space="preserve"> </w:t>
      </w:r>
      <w:r w:rsidR="005D362D">
        <w:rPr>
          <w:color w:val="221F1F"/>
        </w:rPr>
        <w:t>and</w:t>
      </w:r>
      <w:r w:rsidR="005D362D">
        <w:rPr>
          <w:color w:val="221F1F"/>
          <w:spacing w:val="-8"/>
        </w:rPr>
        <w:t xml:space="preserve"> </w:t>
      </w:r>
      <w:r w:rsidR="005D362D">
        <w:rPr>
          <w:color w:val="221F1F"/>
        </w:rPr>
        <w:t>poles</w:t>
      </w:r>
      <w:r w:rsidR="005D362D">
        <w:rPr>
          <w:color w:val="221F1F"/>
          <w:spacing w:val="-8"/>
        </w:rPr>
        <w:t xml:space="preserve"> </w:t>
      </w:r>
      <w:r w:rsidR="005D362D">
        <w:rPr>
          <w:color w:val="221F1F"/>
        </w:rPr>
        <w:t>(and</w:t>
      </w:r>
      <w:r w:rsidR="005D362D">
        <w:rPr>
          <w:color w:val="221F1F"/>
          <w:spacing w:val="-8"/>
        </w:rPr>
        <w:t xml:space="preserve"> </w:t>
      </w:r>
      <w:r w:rsidR="005D362D">
        <w:rPr>
          <w:color w:val="221F1F"/>
        </w:rPr>
        <w:t>airway)</w:t>
      </w:r>
      <w:r w:rsidR="006D1870">
        <w:rPr>
          <w:color w:val="221F1F"/>
        </w:rPr>
        <w:t>,</w:t>
      </w:r>
      <w:r w:rsidR="005D362D">
        <w:rPr>
          <w:color w:val="221F1F"/>
          <w:spacing w:val="-6"/>
        </w:rPr>
        <w:t xml:space="preserve"> </w:t>
      </w:r>
      <w:r>
        <w:rPr>
          <w:color w:val="221F1F"/>
          <w:spacing w:val="-6"/>
        </w:rPr>
        <w:t>with</w:t>
      </w:r>
      <w:r w:rsidR="005D362D">
        <w:rPr>
          <w:color w:val="221F1F"/>
        </w:rPr>
        <w:t>in</w:t>
      </w:r>
      <w:r w:rsidR="005D362D">
        <w:rPr>
          <w:color w:val="221F1F"/>
          <w:spacing w:val="-7"/>
        </w:rPr>
        <w:t xml:space="preserve"> </w:t>
      </w:r>
      <w:r w:rsidR="005D362D">
        <w:rPr>
          <w:color w:val="221F1F"/>
        </w:rPr>
        <w:t>the</w:t>
      </w:r>
      <w:r>
        <w:rPr>
          <w:color w:val="221F1F"/>
        </w:rPr>
        <w:t xml:space="preserve"> County’s boundaries</w:t>
      </w:r>
      <w:r w:rsidR="005D362D">
        <w:rPr>
          <w:color w:val="221F1F"/>
        </w:rPr>
        <w:t>.</w:t>
      </w:r>
      <w:r w:rsidR="005D362D">
        <w:rPr>
          <w:color w:val="221F1F"/>
          <w:spacing w:val="45"/>
        </w:rPr>
        <w:t xml:space="preserve"> </w:t>
      </w:r>
      <w:r w:rsidR="005D362D">
        <w:rPr>
          <w:color w:val="221F1F"/>
        </w:rPr>
        <w:t>Any</w:t>
      </w:r>
      <w:r w:rsidR="005D362D">
        <w:rPr>
          <w:color w:val="221F1F"/>
          <w:spacing w:val="-12"/>
        </w:rPr>
        <w:t xml:space="preserve"> </w:t>
      </w:r>
      <w:r w:rsidR="005D362D">
        <w:rPr>
          <w:color w:val="221F1F"/>
        </w:rPr>
        <w:t>utility</w:t>
      </w:r>
      <w:r w:rsidR="005D362D">
        <w:rPr>
          <w:color w:val="221F1F"/>
          <w:spacing w:val="-12"/>
        </w:rPr>
        <w:t xml:space="preserve"> </w:t>
      </w:r>
      <w:r w:rsidR="005D362D">
        <w:rPr>
          <w:color w:val="221F1F"/>
        </w:rPr>
        <w:t>or</w:t>
      </w:r>
      <w:r w:rsidR="005D362D">
        <w:rPr>
          <w:color w:val="221F1F"/>
          <w:spacing w:val="-8"/>
        </w:rPr>
        <w:t xml:space="preserve"> </w:t>
      </w:r>
      <w:r w:rsidR="005D362D">
        <w:rPr>
          <w:color w:val="221F1F"/>
        </w:rPr>
        <w:t>company</w:t>
      </w:r>
      <w:r w:rsidR="005D362D">
        <w:rPr>
          <w:color w:val="221F1F"/>
          <w:spacing w:val="-10"/>
        </w:rPr>
        <w:t xml:space="preserve"> </w:t>
      </w:r>
      <w:r w:rsidR="005D362D">
        <w:rPr>
          <w:color w:val="221F1F"/>
        </w:rPr>
        <w:t>accessing</w:t>
      </w:r>
      <w:r w:rsidR="005D362D">
        <w:rPr>
          <w:color w:val="221F1F"/>
          <w:spacing w:val="-8"/>
        </w:rPr>
        <w:t xml:space="preserve"> </w:t>
      </w:r>
      <w:r w:rsidR="005D362D">
        <w:rPr>
          <w:color w:val="221F1F"/>
        </w:rPr>
        <w:t>the</w:t>
      </w:r>
      <w:r w:rsidR="005D362D">
        <w:rPr>
          <w:color w:val="221F1F"/>
          <w:spacing w:val="-8"/>
        </w:rPr>
        <w:t xml:space="preserve"> </w:t>
      </w:r>
      <w:r w:rsidR="005D362D">
        <w:rPr>
          <w:color w:val="221F1F"/>
        </w:rPr>
        <w:t>right</w:t>
      </w:r>
      <w:r w:rsidR="005D362D">
        <w:rPr>
          <w:color w:val="221F1F"/>
          <w:spacing w:val="-7"/>
        </w:rPr>
        <w:t xml:space="preserve"> </w:t>
      </w:r>
      <w:r w:rsidR="005D362D">
        <w:rPr>
          <w:color w:val="221F1F"/>
        </w:rPr>
        <w:t>of</w:t>
      </w:r>
      <w:r w:rsidR="005D362D">
        <w:rPr>
          <w:color w:val="221F1F"/>
          <w:spacing w:val="-6"/>
        </w:rPr>
        <w:t xml:space="preserve"> </w:t>
      </w:r>
      <w:r w:rsidR="005D362D">
        <w:rPr>
          <w:color w:val="221F1F"/>
        </w:rPr>
        <w:t>way</w:t>
      </w:r>
      <w:r w:rsidR="005D362D">
        <w:rPr>
          <w:color w:val="221F1F"/>
          <w:spacing w:val="-7"/>
        </w:rPr>
        <w:t xml:space="preserve"> </w:t>
      </w:r>
      <w:r w:rsidR="005D362D">
        <w:rPr>
          <w:color w:val="221F1F"/>
        </w:rPr>
        <w:t>must be</w:t>
      </w:r>
      <w:r w:rsidR="005D362D">
        <w:rPr>
          <w:color w:val="221F1F"/>
          <w:spacing w:val="-11"/>
        </w:rPr>
        <w:t xml:space="preserve"> </w:t>
      </w:r>
      <w:r w:rsidR="005D362D">
        <w:rPr>
          <w:color w:val="221F1F"/>
        </w:rPr>
        <w:t>made</w:t>
      </w:r>
      <w:r w:rsidR="005D362D">
        <w:rPr>
          <w:color w:val="221F1F"/>
          <w:spacing w:val="-9"/>
        </w:rPr>
        <w:t xml:space="preserve"> </w:t>
      </w:r>
      <w:r w:rsidR="005D362D">
        <w:rPr>
          <w:color w:val="221F1F"/>
        </w:rPr>
        <w:t>responsible</w:t>
      </w:r>
      <w:r w:rsidR="005D362D">
        <w:rPr>
          <w:color w:val="221F1F"/>
          <w:spacing w:val="-10"/>
        </w:rPr>
        <w:t xml:space="preserve"> </w:t>
      </w:r>
      <w:r w:rsidR="005D362D">
        <w:rPr>
          <w:color w:val="221F1F"/>
        </w:rPr>
        <w:t>for</w:t>
      </w:r>
      <w:r w:rsidR="005D362D">
        <w:rPr>
          <w:color w:val="221F1F"/>
          <w:spacing w:val="-11"/>
        </w:rPr>
        <w:t xml:space="preserve"> </w:t>
      </w:r>
      <w:r w:rsidR="005D362D">
        <w:rPr>
          <w:color w:val="221F1F"/>
        </w:rPr>
        <w:t>how</w:t>
      </w:r>
      <w:r w:rsidR="005D362D">
        <w:rPr>
          <w:color w:val="221F1F"/>
          <w:spacing w:val="-11"/>
        </w:rPr>
        <w:t xml:space="preserve"> </w:t>
      </w:r>
      <w:r w:rsidR="005D362D">
        <w:rPr>
          <w:color w:val="221F1F"/>
        </w:rPr>
        <w:t>they</w:t>
      </w:r>
      <w:r w:rsidR="005D362D">
        <w:rPr>
          <w:color w:val="221F1F"/>
          <w:spacing w:val="-15"/>
        </w:rPr>
        <w:t xml:space="preserve"> </w:t>
      </w:r>
      <w:r w:rsidR="005D362D">
        <w:rPr>
          <w:color w:val="221F1F"/>
        </w:rPr>
        <w:t>conduct</w:t>
      </w:r>
      <w:r w:rsidR="005D362D">
        <w:rPr>
          <w:color w:val="221F1F"/>
          <w:spacing w:val="-10"/>
        </w:rPr>
        <w:t xml:space="preserve"> </w:t>
      </w:r>
      <w:r w:rsidR="005D362D">
        <w:rPr>
          <w:color w:val="221F1F"/>
        </w:rPr>
        <w:t>business.</w:t>
      </w:r>
      <w:r>
        <w:rPr>
          <w:color w:val="221F1F"/>
          <w:spacing w:val="43"/>
        </w:rPr>
        <w:t xml:space="preserve"> </w:t>
      </w:r>
      <w:r w:rsidR="005D362D">
        <w:rPr>
          <w:color w:val="221F1F"/>
        </w:rPr>
        <w:t xml:space="preserve"> </w:t>
      </w:r>
      <w:r w:rsidR="00CE2A7B">
        <w:rPr>
          <w:color w:val="221F1F"/>
        </w:rPr>
        <w:t xml:space="preserve">The </w:t>
      </w:r>
      <w:r>
        <w:rPr>
          <w:color w:val="221F1F"/>
        </w:rPr>
        <w:t>County</w:t>
      </w:r>
      <w:r w:rsidR="005D362D">
        <w:rPr>
          <w:color w:val="221F1F"/>
        </w:rPr>
        <w:t xml:space="preserve"> must </w:t>
      </w:r>
      <w:r w:rsidR="00CE2A7B">
        <w:rPr>
          <w:color w:val="221F1F"/>
        </w:rPr>
        <w:t xml:space="preserve">do </w:t>
      </w:r>
      <w:r w:rsidR="005D362D">
        <w:rPr>
          <w:color w:val="221F1F"/>
        </w:rPr>
        <w:t>due diligence to provide safety standards for each use, and to make sure a citizen’s “view” or adjacent property to the rights of way are not “cluttered” or made unsightly from structures, towers</w:t>
      </w:r>
      <w:r w:rsidR="00123590">
        <w:rPr>
          <w:color w:val="221F1F"/>
        </w:rPr>
        <w:t>,</w:t>
      </w:r>
      <w:bookmarkStart w:id="0" w:name="_GoBack"/>
      <w:bookmarkEnd w:id="0"/>
      <w:r w:rsidR="005D362D">
        <w:rPr>
          <w:color w:val="221F1F"/>
        </w:rPr>
        <w:t xml:space="preserve"> or boxes that could pose many</w:t>
      </w:r>
      <w:r w:rsidR="005D362D">
        <w:rPr>
          <w:color w:val="221F1F"/>
          <w:spacing w:val="-14"/>
        </w:rPr>
        <w:t xml:space="preserve"> </w:t>
      </w:r>
      <w:r w:rsidR="005D362D">
        <w:rPr>
          <w:color w:val="221F1F"/>
        </w:rPr>
        <w:t>issues.</w:t>
      </w:r>
      <w:r w:rsidR="00CE2A7B">
        <w:rPr>
          <w:color w:val="221F1F"/>
        </w:rPr>
        <w:t xml:space="preserve">  </w:t>
      </w:r>
    </w:p>
    <w:p w14:paraId="361DB2B5" w14:textId="77777777" w:rsidR="00240524" w:rsidRDefault="00240524" w:rsidP="00046A9A">
      <w:pPr>
        <w:spacing w:after="0" w:line="240" w:lineRule="auto"/>
        <w:ind w:left="0" w:firstLine="720"/>
        <w:jc w:val="both"/>
      </w:pPr>
    </w:p>
    <w:p w14:paraId="070476C3" w14:textId="65977E05" w:rsidR="003956FB" w:rsidRPr="005D362D" w:rsidRDefault="00240524" w:rsidP="00772114">
      <w:pPr>
        <w:spacing w:after="0" w:line="240" w:lineRule="auto"/>
        <w:ind w:left="0" w:firstLine="720"/>
        <w:jc w:val="both"/>
      </w:pPr>
      <w:r w:rsidRPr="005D362D">
        <w:t xml:space="preserve">As stated above, Kitsap County </w:t>
      </w:r>
      <w:r w:rsidR="00984FD6" w:rsidRPr="005D362D">
        <w:t xml:space="preserve">strongly </w:t>
      </w:r>
      <w:r w:rsidRPr="005D362D">
        <w:t>opposes the</w:t>
      </w:r>
      <w:r w:rsidR="00271F97" w:rsidRPr="005D362D">
        <w:t xml:space="preserve"> proposed rules in the FNPRM.</w:t>
      </w:r>
      <w:r w:rsidR="00984FD6" w:rsidRPr="005D362D">
        <w:t xml:space="preserve">  The County believes that the proposed rules would</w:t>
      </w:r>
      <w:r w:rsidR="00772114" w:rsidRPr="005D362D">
        <w:t xml:space="preserve"> place a burden on </w:t>
      </w:r>
      <w:r w:rsidR="007F43C3">
        <w:t>C</w:t>
      </w:r>
      <w:r w:rsidR="00772114" w:rsidRPr="005D362D">
        <w:t>ounty resources while enabling cable providers to profit using public lands with no governorship.</w:t>
      </w:r>
    </w:p>
    <w:p w14:paraId="02B6A64B" w14:textId="77777777" w:rsidR="00772114" w:rsidRDefault="00772114" w:rsidP="00772114">
      <w:pPr>
        <w:spacing w:after="0" w:line="240" w:lineRule="auto"/>
        <w:ind w:left="0" w:firstLine="720"/>
        <w:jc w:val="both"/>
      </w:pPr>
    </w:p>
    <w:p w14:paraId="128F52E7" w14:textId="05FCA15F" w:rsidR="005D2129" w:rsidRDefault="00D158E7" w:rsidP="00463BCA">
      <w:pPr>
        <w:ind w:left="5040" w:firstLine="0"/>
      </w:pPr>
      <w:r>
        <w:t xml:space="preserve">Respectfully submitted, </w:t>
      </w:r>
    </w:p>
    <w:p w14:paraId="1F6C2EE1" w14:textId="02D42F4C" w:rsidR="005D2129" w:rsidRDefault="005D2129" w:rsidP="00463BCA">
      <w:pPr>
        <w:tabs>
          <w:tab w:val="center" w:pos="5910"/>
        </w:tabs>
        <w:spacing w:after="0" w:line="259" w:lineRule="auto"/>
        <w:ind w:left="5040" w:firstLine="0"/>
      </w:pPr>
    </w:p>
    <w:p w14:paraId="491D1B40" w14:textId="77777777" w:rsidR="00AE0734" w:rsidRDefault="00AE0734" w:rsidP="00463BCA">
      <w:pPr>
        <w:tabs>
          <w:tab w:val="center" w:pos="5816"/>
        </w:tabs>
        <w:ind w:left="5040" w:firstLine="0"/>
      </w:pPr>
    </w:p>
    <w:p w14:paraId="144F21BE" w14:textId="2C6238F6" w:rsidR="00021DF6" w:rsidRDefault="005D362D" w:rsidP="00463BCA">
      <w:pPr>
        <w:tabs>
          <w:tab w:val="center" w:pos="5816"/>
        </w:tabs>
        <w:ind w:left="5040" w:firstLine="0"/>
      </w:pPr>
      <w:r>
        <w:t>George Geyer</w:t>
      </w:r>
    </w:p>
    <w:p w14:paraId="21B0A6E8" w14:textId="16E2AB6D" w:rsidR="00021DF6" w:rsidRDefault="005D362D" w:rsidP="00463BCA">
      <w:pPr>
        <w:tabs>
          <w:tab w:val="center" w:pos="5816"/>
        </w:tabs>
        <w:ind w:left="5040" w:firstLine="0"/>
      </w:pPr>
      <w:r>
        <w:t>Kitsap County Franchise Authority</w:t>
      </w:r>
    </w:p>
    <w:p w14:paraId="4C2FED44" w14:textId="4EC9ECAF" w:rsidR="005D2129" w:rsidRDefault="005D2129" w:rsidP="00463BCA">
      <w:pPr>
        <w:tabs>
          <w:tab w:val="center" w:pos="5790"/>
        </w:tabs>
        <w:ind w:left="5040" w:firstLine="0"/>
      </w:pPr>
    </w:p>
    <w:p w14:paraId="5629B11F" w14:textId="62D41C71" w:rsidR="005D2129" w:rsidRDefault="00046A9A" w:rsidP="00463BCA">
      <w:pPr>
        <w:tabs>
          <w:tab w:val="center" w:pos="6003"/>
        </w:tabs>
        <w:ind w:left="5040" w:firstLine="0"/>
      </w:pPr>
      <w:r>
        <w:t>November 14, 2018</w:t>
      </w:r>
      <w:r w:rsidR="00D158E7">
        <w:t xml:space="preserve"> </w:t>
      </w:r>
    </w:p>
    <w:sectPr w:rsidR="005D2129">
      <w:footerReference w:type="even" r:id="rId12"/>
      <w:footerReference w:type="default" r:id="rId13"/>
      <w:footerReference w:type="first" r:id="rId14"/>
      <w:pgSz w:w="12240" w:h="15840"/>
      <w:pgMar w:top="1442" w:right="1446" w:bottom="1456" w:left="1440" w:header="720" w:footer="72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A9B7D1" w14:textId="77777777" w:rsidR="00B26042" w:rsidRDefault="00B26042">
      <w:pPr>
        <w:spacing w:after="0" w:line="240" w:lineRule="auto"/>
      </w:pPr>
      <w:r>
        <w:separator/>
      </w:r>
    </w:p>
  </w:endnote>
  <w:endnote w:type="continuationSeparator" w:id="0">
    <w:p w14:paraId="21FA43AE" w14:textId="77777777" w:rsidR="00B26042" w:rsidRDefault="00B26042">
      <w:pPr>
        <w:spacing w:after="0" w:line="240" w:lineRule="auto"/>
      </w:pPr>
      <w:r>
        <w:continuationSeparator/>
      </w:r>
    </w:p>
  </w:endnote>
  <w:endnote w:type="continuationNotice" w:id="1">
    <w:p w14:paraId="13CE4C4D" w14:textId="77777777" w:rsidR="005F03C2" w:rsidRDefault="005F03C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1002AFF" w:usb1="C000E47F" w:usb2="0000002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99362D" w14:textId="77777777" w:rsidR="00B26042" w:rsidRDefault="00B26042">
    <w:pPr>
      <w:tabs>
        <w:tab w:val="center" w:pos="4681"/>
      </w:tabs>
      <w:spacing w:after="0" w:line="259" w:lineRule="auto"/>
      <w:ind w:left="0" w:firstLine="0"/>
    </w:pPr>
    <w:r>
      <w:t xml:space="preserve"> </w:t>
    </w:r>
    <w:r>
      <w:tab/>
    </w:r>
    <w:r>
      <w:fldChar w:fldCharType="begin"/>
    </w:r>
    <w:r>
      <w:instrText xml:space="preserve"> PAGE   \* MERGEFORMAT </w:instrText>
    </w:r>
    <w:r>
      <w:fldChar w:fldCharType="separate"/>
    </w:r>
    <w:r>
      <w:t>1</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8917B" w14:textId="31A4A65E" w:rsidR="00B26042" w:rsidRDefault="00B26042">
    <w:pPr>
      <w:tabs>
        <w:tab w:val="center" w:pos="4681"/>
      </w:tabs>
      <w:spacing w:after="0" w:line="259" w:lineRule="auto"/>
      <w:ind w:left="0" w:firstLine="0"/>
    </w:pPr>
    <w:r>
      <w:t xml:space="preserve"> </w:t>
    </w:r>
    <w:r>
      <w:tab/>
    </w:r>
    <w:r>
      <w:fldChar w:fldCharType="begin"/>
    </w:r>
    <w:r>
      <w:instrText xml:space="preserve"> PAGE   \* MERGEFORMAT </w:instrText>
    </w:r>
    <w:r>
      <w:fldChar w:fldCharType="separate"/>
    </w:r>
    <w:r>
      <w:rPr>
        <w:noProof/>
      </w:rPr>
      <w:t>5</w:t>
    </w:r>
    <w: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569EB4" w14:textId="77777777" w:rsidR="00B26042" w:rsidRDefault="00B26042">
    <w:pPr>
      <w:tabs>
        <w:tab w:val="center" w:pos="4681"/>
      </w:tabs>
      <w:spacing w:after="0" w:line="259" w:lineRule="auto"/>
      <w:ind w:left="0" w:firstLine="0"/>
    </w:pPr>
    <w:r>
      <w:t xml:space="preserve"> </w:t>
    </w:r>
    <w:r>
      <w:tab/>
    </w:r>
    <w:r>
      <w:fldChar w:fldCharType="begin"/>
    </w:r>
    <w:r>
      <w:instrText xml:space="preserve"> PAGE   \* MERGEFORMAT </w:instrText>
    </w:r>
    <w:r>
      <w:fldChar w:fldCharType="separate"/>
    </w:r>
    <w:r>
      <w:t>1</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C5DD37" w14:textId="77777777" w:rsidR="00B26042" w:rsidRDefault="00B26042">
      <w:pPr>
        <w:spacing w:after="0" w:line="259" w:lineRule="auto"/>
        <w:ind w:left="0" w:firstLine="0"/>
      </w:pPr>
      <w:r>
        <w:separator/>
      </w:r>
    </w:p>
  </w:footnote>
  <w:footnote w:type="continuationSeparator" w:id="0">
    <w:p w14:paraId="403624CA" w14:textId="77777777" w:rsidR="00B26042" w:rsidRDefault="00B26042">
      <w:pPr>
        <w:spacing w:after="0" w:line="259" w:lineRule="auto"/>
        <w:ind w:left="0" w:firstLine="0"/>
      </w:pPr>
      <w:r>
        <w:continuationSeparator/>
      </w:r>
    </w:p>
  </w:footnote>
  <w:footnote w:type="continuationNotice" w:id="1">
    <w:p w14:paraId="5BA52991" w14:textId="77777777" w:rsidR="005F03C2" w:rsidRDefault="005F03C2">
      <w:pPr>
        <w:spacing w:after="0" w:line="240" w:lineRule="auto"/>
      </w:pPr>
    </w:p>
  </w:footnote>
  <w:footnote w:id="2">
    <w:p w14:paraId="3096B689" w14:textId="6D2F6307" w:rsidR="00B26042" w:rsidRDefault="00B26042" w:rsidP="00B44D4E">
      <w:pPr>
        <w:pStyle w:val="FootnoteText"/>
        <w:jc w:val="both"/>
      </w:pPr>
      <w:r>
        <w:rPr>
          <w:rStyle w:val="FootnoteReference"/>
        </w:rPr>
        <w:footnoteRef/>
      </w:r>
      <w:r>
        <w:t xml:space="preserve"> The four cities are:  Bainbridge Island (population 24,500), Bremerton (population 41,000), Port Orchard (population 14,000), and Poulsbo (10,500). </w:t>
      </w:r>
    </w:p>
    <w:p w14:paraId="4DF6FF06" w14:textId="77777777" w:rsidR="00B26042" w:rsidRDefault="00B26042" w:rsidP="00B44D4E">
      <w:pPr>
        <w:pStyle w:val="FootnoteText"/>
        <w:jc w:val="both"/>
      </w:pPr>
    </w:p>
  </w:footnote>
  <w:footnote w:id="3">
    <w:p w14:paraId="4E9A939D" w14:textId="17A27035" w:rsidR="00B26042" w:rsidRDefault="00B26042">
      <w:pPr>
        <w:pStyle w:val="FootnoteText"/>
      </w:pPr>
      <w:r>
        <w:rPr>
          <w:rStyle w:val="FootnoteReference"/>
        </w:rPr>
        <w:footnoteRef/>
      </w:r>
      <w:r>
        <w:t xml:space="preserve"> The four cities have cable franchise agreements separate from the County.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2129"/>
    <w:rsid w:val="00001595"/>
    <w:rsid w:val="00001A76"/>
    <w:rsid w:val="00005CB0"/>
    <w:rsid w:val="00007BBC"/>
    <w:rsid w:val="00021DF6"/>
    <w:rsid w:val="000259E1"/>
    <w:rsid w:val="00040EE4"/>
    <w:rsid w:val="000458AE"/>
    <w:rsid w:val="00046A9A"/>
    <w:rsid w:val="0005743F"/>
    <w:rsid w:val="00070C67"/>
    <w:rsid w:val="00074DDF"/>
    <w:rsid w:val="000822FB"/>
    <w:rsid w:val="00085939"/>
    <w:rsid w:val="0008608C"/>
    <w:rsid w:val="000B3CEA"/>
    <w:rsid w:val="000B5394"/>
    <w:rsid w:val="000C7C10"/>
    <w:rsid w:val="000C7C22"/>
    <w:rsid w:val="000D0E02"/>
    <w:rsid w:val="000D507B"/>
    <w:rsid w:val="000E19DA"/>
    <w:rsid w:val="000E1C17"/>
    <w:rsid w:val="000E2187"/>
    <w:rsid w:val="000F16B4"/>
    <w:rsid w:val="000F7D1D"/>
    <w:rsid w:val="00123590"/>
    <w:rsid w:val="00134E21"/>
    <w:rsid w:val="0014485F"/>
    <w:rsid w:val="001543B6"/>
    <w:rsid w:val="00160D10"/>
    <w:rsid w:val="00170472"/>
    <w:rsid w:val="0017120C"/>
    <w:rsid w:val="00187136"/>
    <w:rsid w:val="00197A3E"/>
    <w:rsid w:val="001A23E9"/>
    <w:rsid w:val="001A36D5"/>
    <w:rsid w:val="001A3D77"/>
    <w:rsid w:val="001A50C9"/>
    <w:rsid w:val="001A7075"/>
    <w:rsid w:val="001C082B"/>
    <w:rsid w:val="001D00F2"/>
    <w:rsid w:val="001E5872"/>
    <w:rsid w:val="001E67FD"/>
    <w:rsid w:val="001F2401"/>
    <w:rsid w:val="00205074"/>
    <w:rsid w:val="00221459"/>
    <w:rsid w:val="00225FCF"/>
    <w:rsid w:val="0023002B"/>
    <w:rsid w:val="00240524"/>
    <w:rsid w:val="002556BC"/>
    <w:rsid w:val="00262AA1"/>
    <w:rsid w:val="00264F2F"/>
    <w:rsid w:val="0026635D"/>
    <w:rsid w:val="00266E23"/>
    <w:rsid w:val="00271BB6"/>
    <w:rsid w:val="00271F97"/>
    <w:rsid w:val="00280540"/>
    <w:rsid w:val="002865F7"/>
    <w:rsid w:val="002A2FF3"/>
    <w:rsid w:val="002A56D4"/>
    <w:rsid w:val="002D1B2A"/>
    <w:rsid w:val="002D7CF1"/>
    <w:rsid w:val="002E14C5"/>
    <w:rsid w:val="002E2057"/>
    <w:rsid w:val="00303183"/>
    <w:rsid w:val="00315633"/>
    <w:rsid w:val="00316C67"/>
    <w:rsid w:val="00322BDB"/>
    <w:rsid w:val="003241FB"/>
    <w:rsid w:val="003268F0"/>
    <w:rsid w:val="003325FF"/>
    <w:rsid w:val="003331A3"/>
    <w:rsid w:val="00334E48"/>
    <w:rsid w:val="0033719C"/>
    <w:rsid w:val="003430DD"/>
    <w:rsid w:val="0035186C"/>
    <w:rsid w:val="00353512"/>
    <w:rsid w:val="003535B1"/>
    <w:rsid w:val="003573A0"/>
    <w:rsid w:val="00361413"/>
    <w:rsid w:val="003649EC"/>
    <w:rsid w:val="003651E0"/>
    <w:rsid w:val="003702BE"/>
    <w:rsid w:val="00372BA0"/>
    <w:rsid w:val="00372DAB"/>
    <w:rsid w:val="0037426D"/>
    <w:rsid w:val="00381723"/>
    <w:rsid w:val="00381A5A"/>
    <w:rsid w:val="00381B1C"/>
    <w:rsid w:val="00386ACA"/>
    <w:rsid w:val="003956FB"/>
    <w:rsid w:val="003B33A1"/>
    <w:rsid w:val="003B4668"/>
    <w:rsid w:val="003D0A3D"/>
    <w:rsid w:val="003E7A33"/>
    <w:rsid w:val="003F0639"/>
    <w:rsid w:val="003F62DE"/>
    <w:rsid w:val="00400345"/>
    <w:rsid w:val="00404B6B"/>
    <w:rsid w:val="00411B25"/>
    <w:rsid w:val="0041458C"/>
    <w:rsid w:val="004145D9"/>
    <w:rsid w:val="00414FD6"/>
    <w:rsid w:val="00422F4D"/>
    <w:rsid w:val="00424792"/>
    <w:rsid w:val="00445F57"/>
    <w:rsid w:val="00446DBD"/>
    <w:rsid w:val="00456048"/>
    <w:rsid w:val="00463BCA"/>
    <w:rsid w:val="00466B66"/>
    <w:rsid w:val="00470401"/>
    <w:rsid w:val="00481D17"/>
    <w:rsid w:val="00485098"/>
    <w:rsid w:val="004A2640"/>
    <w:rsid w:val="004B0A6C"/>
    <w:rsid w:val="004C3F2E"/>
    <w:rsid w:val="004E466E"/>
    <w:rsid w:val="004E7F91"/>
    <w:rsid w:val="00500D8E"/>
    <w:rsid w:val="00505755"/>
    <w:rsid w:val="0050733F"/>
    <w:rsid w:val="00511A94"/>
    <w:rsid w:val="005138B2"/>
    <w:rsid w:val="00521802"/>
    <w:rsid w:val="00536C2F"/>
    <w:rsid w:val="00540ACD"/>
    <w:rsid w:val="005411A0"/>
    <w:rsid w:val="005441BD"/>
    <w:rsid w:val="005542A9"/>
    <w:rsid w:val="0055447F"/>
    <w:rsid w:val="00562D99"/>
    <w:rsid w:val="00563F1D"/>
    <w:rsid w:val="00566841"/>
    <w:rsid w:val="005709B3"/>
    <w:rsid w:val="00570C6B"/>
    <w:rsid w:val="00580DD9"/>
    <w:rsid w:val="00582DE3"/>
    <w:rsid w:val="00585E48"/>
    <w:rsid w:val="005A028A"/>
    <w:rsid w:val="005C087F"/>
    <w:rsid w:val="005C2B26"/>
    <w:rsid w:val="005C5423"/>
    <w:rsid w:val="005D2129"/>
    <w:rsid w:val="005D362D"/>
    <w:rsid w:val="005D523F"/>
    <w:rsid w:val="005D577A"/>
    <w:rsid w:val="005E2B3E"/>
    <w:rsid w:val="005E7F1A"/>
    <w:rsid w:val="005F03C2"/>
    <w:rsid w:val="005F40D3"/>
    <w:rsid w:val="005F469B"/>
    <w:rsid w:val="006120C3"/>
    <w:rsid w:val="00622125"/>
    <w:rsid w:val="00624EAF"/>
    <w:rsid w:val="00627400"/>
    <w:rsid w:val="006317A6"/>
    <w:rsid w:val="00637E42"/>
    <w:rsid w:val="00652E41"/>
    <w:rsid w:val="0065511D"/>
    <w:rsid w:val="00665B60"/>
    <w:rsid w:val="006757E0"/>
    <w:rsid w:val="00677ECE"/>
    <w:rsid w:val="006813A2"/>
    <w:rsid w:val="006878F0"/>
    <w:rsid w:val="006A1BC1"/>
    <w:rsid w:val="006B2757"/>
    <w:rsid w:val="006B40C4"/>
    <w:rsid w:val="006B4770"/>
    <w:rsid w:val="006C0A01"/>
    <w:rsid w:val="006C2D21"/>
    <w:rsid w:val="006C7A8B"/>
    <w:rsid w:val="006D1870"/>
    <w:rsid w:val="006D46F6"/>
    <w:rsid w:val="006D66B3"/>
    <w:rsid w:val="006E1D13"/>
    <w:rsid w:val="006E4745"/>
    <w:rsid w:val="006F27FA"/>
    <w:rsid w:val="007001CF"/>
    <w:rsid w:val="00701EB6"/>
    <w:rsid w:val="00703314"/>
    <w:rsid w:val="007060BD"/>
    <w:rsid w:val="00724321"/>
    <w:rsid w:val="0072578B"/>
    <w:rsid w:val="00744174"/>
    <w:rsid w:val="0074491A"/>
    <w:rsid w:val="00750DAF"/>
    <w:rsid w:val="00752164"/>
    <w:rsid w:val="00760435"/>
    <w:rsid w:val="00761C30"/>
    <w:rsid w:val="00763401"/>
    <w:rsid w:val="00772114"/>
    <w:rsid w:val="00783609"/>
    <w:rsid w:val="007B7202"/>
    <w:rsid w:val="007B74DC"/>
    <w:rsid w:val="007D5D66"/>
    <w:rsid w:val="007F147F"/>
    <w:rsid w:val="007F2607"/>
    <w:rsid w:val="007F401D"/>
    <w:rsid w:val="007F43C3"/>
    <w:rsid w:val="008214CA"/>
    <w:rsid w:val="008216D9"/>
    <w:rsid w:val="008249FD"/>
    <w:rsid w:val="00827AF0"/>
    <w:rsid w:val="00836956"/>
    <w:rsid w:val="00837169"/>
    <w:rsid w:val="00854090"/>
    <w:rsid w:val="008540ED"/>
    <w:rsid w:val="008609F7"/>
    <w:rsid w:val="00862199"/>
    <w:rsid w:val="00863E95"/>
    <w:rsid w:val="008846FC"/>
    <w:rsid w:val="00886926"/>
    <w:rsid w:val="00897318"/>
    <w:rsid w:val="008B3058"/>
    <w:rsid w:val="008D3757"/>
    <w:rsid w:val="008D634A"/>
    <w:rsid w:val="008D7BF7"/>
    <w:rsid w:val="008E356C"/>
    <w:rsid w:val="008F3E57"/>
    <w:rsid w:val="00904D70"/>
    <w:rsid w:val="0091692C"/>
    <w:rsid w:val="009172F2"/>
    <w:rsid w:val="00936DC6"/>
    <w:rsid w:val="0094522E"/>
    <w:rsid w:val="00954A8A"/>
    <w:rsid w:val="00955E32"/>
    <w:rsid w:val="009605A4"/>
    <w:rsid w:val="0097366F"/>
    <w:rsid w:val="00984FD6"/>
    <w:rsid w:val="00985F6A"/>
    <w:rsid w:val="009903EF"/>
    <w:rsid w:val="009A4441"/>
    <w:rsid w:val="009A65C7"/>
    <w:rsid w:val="009B682A"/>
    <w:rsid w:val="009C3881"/>
    <w:rsid w:val="009F346F"/>
    <w:rsid w:val="009F6952"/>
    <w:rsid w:val="00A03C7F"/>
    <w:rsid w:val="00A07144"/>
    <w:rsid w:val="00A07570"/>
    <w:rsid w:val="00A1203F"/>
    <w:rsid w:val="00A26039"/>
    <w:rsid w:val="00A3520F"/>
    <w:rsid w:val="00A353F6"/>
    <w:rsid w:val="00A460DD"/>
    <w:rsid w:val="00A465DF"/>
    <w:rsid w:val="00A6121A"/>
    <w:rsid w:val="00A67265"/>
    <w:rsid w:val="00A709E7"/>
    <w:rsid w:val="00A739FD"/>
    <w:rsid w:val="00A81C59"/>
    <w:rsid w:val="00AA709B"/>
    <w:rsid w:val="00AC7E35"/>
    <w:rsid w:val="00AD6DDA"/>
    <w:rsid w:val="00AE0734"/>
    <w:rsid w:val="00AE29A5"/>
    <w:rsid w:val="00AE4C7D"/>
    <w:rsid w:val="00AE5F6C"/>
    <w:rsid w:val="00AF562E"/>
    <w:rsid w:val="00B01974"/>
    <w:rsid w:val="00B130E8"/>
    <w:rsid w:val="00B13237"/>
    <w:rsid w:val="00B13318"/>
    <w:rsid w:val="00B14F7E"/>
    <w:rsid w:val="00B16DC5"/>
    <w:rsid w:val="00B26042"/>
    <w:rsid w:val="00B36917"/>
    <w:rsid w:val="00B44D4E"/>
    <w:rsid w:val="00B503E4"/>
    <w:rsid w:val="00B72717"/>
    <w:rsid w:val="00B81E1C"/>
    <w:rsid w:val="00B82D4D"/>
    <w:rsid w:val="00B97716"/>
    <w:rsid w:val="00BA3278"/>
    <w:rsid w:val="00BA64F4"/>
    <w:rsid w:val="00BB0890"/>
    <w:rsid w:val="00BC395E"/>
    <w:rsid w:val="00BC4475"/>
    <w:rsid w:val="00BE12E3"/>
    <w:rsid w:val="00BE256F"/>
    <w:rsid w:val="00BE7944"/>
    <w:rsid w:val="00BF18B1"/>
    <w:rsid w:val="00BF538F"/>
    <w:rsid w:val="00C01F34"/>
    <w:rsid w:val="00C04A48"/>
    <w:rsid w:val="00C06B08"/>
    <w:rsid w:val="00C07C53"/>
    <w:rsid w:val="00C15AFD"/>
    <w:rsid w:val="00C26767"/>
    <w:rsid w:val="00C473B1"/>
    <w:rsid w:val="00C54933"/>
    <w:rsid w:val="00C605D5"/>
    <w:rsid w:val="00C64135"/>
    <w:rsid w:val="00C6506E"/>
    <w:rsid w:val="00C67C60"/>
    <w:rsid w:val="00C70F8D"/>
    <w:rsid w:val="00C810BD"/>
    <w:rsid w:val="00C83BAA"/>
    <w:rsid w:val="00C93A55"/>
    <w:rsid w:val="00C95F96"/>
    <w:rsid w:val="00C972C2"/>
    <w:rsid w:val="00CA145E"/>
    <w:rsid w:val="00CA1E81"/>
    <w:rsid w:val="00CA1F21"/>
    <w:rsid w:val="00CA22BB"/>
    <w:rsid w:val="00CC6F80"/>
    <w:rsid w:val="00CE2A7B"/>
    <w:rsid w:val="00CE6AFC"/>
    <w:rsid w:val="00CF1178"/>
    <w:rsid w:val="00CF34AF"/>
    <w:rsid w:val="00CF3B6C"/>
    <w:rsid w:val="00CF5578"/>
    <w:rsid w:val="00D04032"/>
    <w:rsid w:val="00D14454"/>
    <w:rsid w:val="00D158E7"/>
    <w:rsid w:val="00D230B5"/>
    <w:rsid w:val="00D250E0"/>
    <w:rsid w:val="00D432D8"/>
    <w:rsid w:val="00D43B89"/>
    <w:rsid w:val="00D47560"/>
    <w:rsid w:val="00D73C15"/>
    <w:rsid w:val="00D906A5"/>
    <w:rsid w:val="00D93150"/>
    <w:rsid w:val="00D933C5"/>
    <w:rsid w:val="00D96765"/>
    <w:rsid w:val="00DA31A7"/>
    <w:rsid w:val="00DA3CB6"/>
    <w:rsid w:val="00DE648E"/>
    <w:rsid w:val="00DE6D71"/>
    <w:rsid w:val="00DE78F9"/>
    <w:rsid w:val="00DF2FFE"/>
    <w:rsid w:val="00E133DE"/>
    <w:rsid w:val="00E164A7"/>
    <w:rsid w:val="00E17B3C"/>
    <w:rsid w:val="00E254E7"/>
    <w:rsid w:val="00E41D59"/>
    <w:rsid w:val="00E61CC2"/>
    <w:rsid w:val="00E71536"/>
    <w:rsid w:val="00E72B3D"/>
    <w:rsid w:val="00E8785E"/>
    <w:rsid w:val="00E90CFF"/>
    <w:rsid w:val="00EA5EBF"/>
    <w:rsid w:val="00EC1D3A"/>
    <w:rsid w:val="00ED1553"/>
    <w:rsid w:val="00ED44F8"/>
    <w:rsid w:val="00EE1E44"/>
    <w:rsid w:val="00EE71C9"/>
    <w:rsid w:val="00F04FFE"/>
    <w:rsid w:val="00F117F5"/>
    <w:rsid w:val="00F17AA3"/>
    <w:rsid w:val="00F250F1"/>
    <w:rsid w:val="00F27270"/>
    <w:rsid w:val="00F32829"/>
    <w:rsid w:val="00F33A1F"/>
    <w:rsid w:val="00F515D9"/>
    <w:rsid w:val="00F573AE"/>
    <w:rsid w:val="00F6330C"/>
    <w:rsid w:val="00F65128"/>
    <w:rsid w:val="00F65ECD"/>
    <w:rsid w:val="00F661DD"/>
    <w:rsid w:val="00F817A4"/>
    <w:rsid w:val="00FA619C"/>
    <w:rsid w:val="00FB03B0"/>
    <w:rsid w:val="00FC20C9"/>
    <w:rsid w:val="00FF31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886F4"/>
  <w15:docId w15:val="{0F3FE1B8-0FEC-44C1-BBF2-1F91F7A6B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7" w:line="249" w:lineRule="auto"/>
      <w:ind w:left="10" w:hanging="10"/>
    </w:pPr>
    <w:rPr>
      <w:rFonts w:ascii="Times New Roman" w:eastAsia="Times New Roman" w:hAnsi="Times New Roman" w:cs="Times New Roman"/>
      <w:color w:val="231F20"/>
      <w:sz w:val="24"/>
    </w:rPr>
  </w:style>
  <w:style w:type="paragraph" w:styleId="Heading1">
    <w:name w:val="heading 1"/>
    <w:next w:val="Normal"/>
    <w:link w:val="Heading1Char"/>
    <w:uiPriority w:val="9"/>
    <w:unhideWhenUsed/>
    <w:qFormat/>
    <w:pPr>
      <w:keepNext/>
      <w:keepLines/>
      <w:spacing w:after="4" w:line="252" w:lineRule="auto"/>
      <w:ind w:left="16" w:hanging="10"/>
      <w:outlineLvl w:val="0"/>
    </w:pPr>
    <w:rPr>
      <w:rFonts w:ascii="Times New Roman" w:eastAsia="Times New Roman" w:hAnsi="Times New Roman" w:cs="Times New Roman"/>
      <w:b/>
      <w:color w:val="231F2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231F20"/>
      <w:sz w:val="24"/>
    </w:rPr>
  </w:style>
  <w:style w:type="paragraph" w:customStyle="1" w:styleId="footnotedescription">
    <w:name w:val="footnote description"/>
    <w:next w:val="Normal"/>
    <w:link w:val="footnotedescriptionChar"/>
    <w:hidden/>
    <w:pPr>
      <w:spacing w:after="0"/>
    </w:pPr>
    <w:rPr>
      <w:rFonts w:ascii="Times New Roman" w:eastAsia="Times New Roman" w:hAnsi="Times New Roman" w:cs="Times New Roman"/>
      <w:color w:val="231F20"/>
      <w:sz w:val="24"/>
    </w:rPr>
  </w:style>
  <w:style w:type="character" w:customStyle="1" w:styleId="footnotedescriptionChar">
    <w:name w:val="footnote description Char"/>
    <w:link w:val="footnotedescription"/>
    <w:rPr>
      <w:rFonts w:ascii="Times New Roman" w:eastAsia="Times New Roman" w:hAnsi="Times New Roman" w:cs="Times New Roman"/>
      <w:color w:val="231F20"/>
      <w:sz w:val="24"/>
    </w:rPr>
  </w:style>
  <w:style w:type="character" w:customStyle="1" w:styleId="footnotemark">
    <w:name w:val="footnote mark"/>
    <w:hidden/>
    <w:rPr>
      <w:rFonts w:ascii="Times New Roman" w:eastAsia="Times New Roman" w:hAnsi="Times New Roman" w:cs="Times New Roman"/>
      <w:color w:val="231F20"/>
      <w:sz w:val="21"/>
      <w:vertAlign w:val="superscript"/>
    </w:rPr>
  </w:style>
  <w:style w:type="paragraph" w:styleId="FootnoteText">
    <w:name w:val="footnote text"/>
    <w:basedOn w:val="Normal"/>
    <w:link w:val="FootnoteTextChar"/>
    <w:uiPriority w:val="99"/>
    <w:unhideWhenUsed/>
    <w:rsid w:val="007B74DC"/>
    <w:pPr>
      <w:spacing w:after="0" w:line="240" w:lineRule="auto"/>
    </w:pPr>
    <w:rPr>
      <w:sz w:val="20"/>
      <w:szCs w:val="20"/>
    </w:rPr>
  </w:style>
  <w:style w:type="character" w:customStyle="1" w:styleId="FootnoteTextChar">
    <w:name w:val="Footnote Text Char"/>
    <w:basedOn w:val="DefaultParagraphFont"/>
    <w:link w:val="FootnoteText"/>
    <w:uiPriority w:val="99"/>
    <w:rsid w:val="007B74DC"/>
    <w:rPr>
      <w:rFonts w:ascii="Times New Roman" w:eastAsia="Times New Roman" w:hAnsi="Times New Roman" w:cs="Times New Roman"/>
      <w:color w:val="231F20"/>
      <w:sz w:val="20"/>
      <w:szCs w:val="20"/>
    </w:rPr>
  </w:style>
  <w:style w:type="character" w:styleId="FootnoteReference">
    <w:name w:val="footnote reference"/>
    <w:basedOn w:val="DefaultParagraphFont"/>
    <w:uiPriority w:val="99"/>
    <w:semiHidden/>
    <w:unhideWhenUsed/>
    <w:rsid w:val="007B74DC"/>
    <w:rPr>
      <w:vertAlign w:val="superscript"/>
    </w:rPr>
  </w:style>
  <w:style w:type="paragraph" w:customStyle="1" w:styleId="Default">
    <w:name w:val="Default"/>
    <w:rsid w:val="00570C6B"/>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1A36D5"/>
    <w:pPr>
      <w:ind w:left="720"/>
      <w:contextualSpacing/>
    </w:pPr>
  </w:style>
  <w:style w:type="paragraph" w:styleId="BalloonText">
    <w:name w:val="Balloon Text"/>
    <w:basedOn w:val="Normal"/>
    <w:link w:val="BalloonTextChar"/>
    <w:uiPriority w:val="99"/>
    <w:semiHidden/>
    <w:unhideWhenUsed/>
    <w:rsid w:val="009F34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346F"/>
    <w:rPr>
      <w:rFonts w:ascii="Segoe UI" w:eastAsia="Times New Roman" w:hAnsi="Segoe UI" w:cs="Segoe UI"/>
      <w:color w:val="231F20"/>
      <w:sz w:val="18"/>
      <w:szCs w:val="18"/>
    </w:rPr>
  </w:style>
  <w:style w:type="character" w:styleId="PlaceholderText">
    <w:name w:val="Placeholder Text"/>
    <w:basedOn w:val="DefaultParagraphFont"/>
    <w:uiPriority w:val="99"/>
    <w:semiHidden/>
    <w:rsid w:val="00E254E7"/>
    <w:rPr>
      <w:color w:val="808080"/>
    </w:rPr>
  </w:style>
  <w:style w:type="paragraph" w:styleId="Header">
    <w:name w:val="header"/>
    <w:basedOn w:val="Normal"/>
    <w:link w:val="HeaderChar"/>
    <w:uiPriority w:val="99"/>
    <w:semiHidden/>
    <w:unhideWhenUsed/>
    <w:rsid w:val="005F03C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F03C2"/>
    <w:rPr>
      <w:rFonts w:ascii="Times New Roman" w:eastAsia="Times New Roman" w:hAnsi="Times New Roman" w:cs="Times New Roman"/>
      <w:color w:val="231F20"/>
      <w:sz w:val="24"/>
    </w:rPr>
  </w:style>
  <w:style w:type="paragraph" w:styleId="Footer">
    <w:name w:val="footer"/>
    <w:basedOn w:val="Normal"/>
    <w:link w:val="FooterChar"/>
    <w:uiPriority w:val="99"/>
    <w:semiHidden/>
    <w:unhideWhenUsed/>
    <w:rsid w:val="005F03C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F03C2"/>
    <w:rPr>
      <w:rFonts w:ascii="Times New Roman" w:eastAsia="Times New Roman" w:hAnsi="Times New Roman" w:cs="Times New Roman"/>
      <w:color w:val="231F20"/>
      <w:sz w:val="24"/>
    </w:rPr>
  </w:style>
  <w:style w:type="paragraph" w:styleId="BodyText">
    <w:name w:val="Body Text"/>
    <w:basedOn w:val="Normal"/>
    <w:link w:val="BodyTextChar"/>
    <w:uiPriority w:val="1"/>
    <w:qFormat/>
    <w:rsid w:val="005D362D"/>
    <w:pPr>
      <w:widowControl w:val="0"/>
      <w:autoSpaceDE w:val="0"/>
      <w:autoSpaceDN w:val="0"/>
      <w:spacing w:after="0" w:line="240" w:lineRule="auto"/>
      <w:ind w:left="0" w:firstLine="0"/>
    </w:pPr>
    <w:rPr>
      <w:color w:val="auto"/>
      <w:szCs w:val="24"/>
    </w:rPr>
  </w:style>
  <w:style w:type="character" w:customStyle="1" w:styleId="BodyTextChar">
    <w:name w:val="Body Text Char"/>
    <w:basedOn w:val="DefaultParagraphFont"/>
    <w:link w:val="BodyText"/>
    <w:uiPriority w:val="1"/>
    <w:rsid w:val="005D362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4749320">
      <w:bodyDiv w:val="1"/>
      <w:marLeft w:val="0"/>
      <w:marRight w:val="0"/>
      <w:marTop w:val="0"/>
      <w:marBottom w:val="0"/>
      <w:divBdr>
        <w:top w:val="none" w:sz="0" w:space="0" w:color="auto"/>
        <w:left w:val="none" w:sz="0" w:space="0" w:color="auto"/>
        <w:bottom w:val="none" w:sz="0" w:space="0" w:color="auto"/>
        <w:right w:val="none" w:sz="0" w:space="0" w:color="auto"/>
      </w:divBdr>
    </w:div>
    <w:div w:id="1450007321">
      <w:bodyDiv w:val="1"/>
      <w:marLeft w:val="0"/>
      <w:marRight w:val="0"/>
      <w:marTop w:val="0"/>
      <w:marBottom w:val="0"/>
      <w:divBdr>
        <w:top w:val="none" w:sz="0" w:space="0" w:color="auto"/>
        <w:left w:val="none" w:sz="0" w:space="0" w:color="auto"/>
        <w:bottom w:val="none" w:sz="0" w:space="0" w:color="auto"/>
        <w:right w:val="none" w:sz="0" w:space="0" w:color="auto"/>
      </w:divBdr>
    </w:div>
    <w:div w:id="18324768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Record_x0020_Subject xmlns="912d177a-6cc5-4f6e-87a1-a122c73ed428" xsi:nil="true"/>
    <Retention_x0020_Sub_x0020_Category xmlns="912d177a-6cc5-4f6e-87a1-a122c73ed428" xsi:nil="true"/>
    <TaxCatchAll xmlns="912d177a-6cc5-4f6e-87a1-a122c73ed428"/>
    <Record_x0020_Date xmlns="912d177a-6cc5-4f6e-87a1-a122c73ed428" xsi:nil="true"/>
    <Retention_x0020_Category xmlns="912d177a-6cc5-4f6e-87a1-a122c73ed428" xsi:nil="true"/>
    <Record_x0020_Migration_x0020_Info xmlns="912d177a-6cc5-4f6e-87a1-a122c73ed428" xsi:nil="true"/>
    <le58c6d5b2dc4d80a2c168cfc9a76dbb xmlns="912d177a-6cc5-4f6e-87a1-a122c73ed428">
      <Terms xmlns="http://schemas.microsoft.com/office/infopath/2007/PartnerControls"/>
    </le58c6d5b2dc4d80a2c168cfc9a76dbb>
    <_dlc_DocId xmlns="912d177a-6cc5-4f6e-87a1-a122c73ed428">ISDOC-420-269</_dlc_DocId>
    <_dlc_DocIdUrl xmlns="912d177a-6cc5-4f6e-87a1-a122c73ed428">
      <Url>http://ikitsap/is/dc/_layouts/15/DocIdRedir.aspx?ID=ISDOC-420-269</Url>
      <Description>ISDOC-420-269</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Working Document" ma:contentTypeID="0x01010033B61B9E07E0764485FE008A0B437565000584E4F2CE87ED499F74888D2B2A9C7D" ma:contentTypeVersion="214" ma:contentTypeDescription="This content type is used when the document is a working document and is not a document with a retention." ma:contentTypeScope="" ma:versionID="c1ee5d7f93b710cc45f81c2dad50cf2a">
  <xsd:schema xmlns:xsd="http://www.w3.org/2001/XMLSchema" xmlns:xs="http://www.w3.org/2001/XMLSchema" xmlns:p="http://schemas.microsoft.com/office/2006/metadata/properties" xmlns:ns2="912d177a-6cc5-4f6e-87a1-a122c73ed428" targetNamespace="http://schemas.microsoft.com/office/2006/metadata/properties" ma:root="true" ma:fieldsID="145c8e9700a09c0ba214e8878b2b793f" ns2:_="">
    <xsd:import namespace="912d177a-6cc5-4f6e-87a1-a122c73ed428"/>
    <xsd:element name="properties">
      <xsd:complexType>
        <xsd:sequence>
          <xsd:element name="documentManagement">
            <xsd:complexType>
              <xsd:all>
                <xsd:element ref="ns2:_dlc_DocId" minOccurs="0"/>
                <xsd:element ref="ns2:_dlc_DocIdUrl" minOccurs="0"/>
                <xsd:element ref="ns2:_dlc_DocIdPersistId" minOccurs="0"/>
                <xsd:element ref="ns2:Record_x0020_Subject" minOccurs="0"/>
                <xsd:element ref="ns2:Record_x0020_Date" minOccurs="0"/>
                <xsd:element ref="ns2:le58c6d5b2dc4d80a2c168cfc9a76dbb" minOccurs="0"/>
                <xsd:element ref="ns2:TaxCatchAll" minOccurs="0"/>
                <xsd:element ref="ns2:TaxCatchAllLabel" minOccurs="0"/>
                <xsd:element ref="ns2:Retention_x0020_Category" minOccurs="0"/>
                <xsd:element ref="ns2:Retention_x0020_Sub_x0020_Category" minOccurs="0"/>
                <xsd:element ref="ns2:Record_x0020_Migration_x0020_Inf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2d177a-6cc5-4f6e-87a1-a122c73ed42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ecord_x0020_Subject" ma:index="11" nillable="true" ma:displayName="Record Subject" ma:description="This column should be used to help sort and organize records.  The subject should be short and meaningful.  Like FMS or LIS." ma:internalName="Record_x0020_Subject">
      <xsd:simpleType>
        <xsd:restriction base="dms:Text">
          <xsd:maxLength value="255"/>
        </xsd:restriction>
      </xsd:simpleType>
    </xsd:element>
    <xsd:element name="Record_x0020_Date" ma:index="12" nillable="true" ma:displayName="Record Date" ma:format="DateOnly" ma:internalName="Record_x0020_Date">
      <xsd:simpleType>
        <xsd:restriction base="dms:DateTime"/>
      </xsd:simpleType>
    </xsd:element>
    <xsd:element name="le58c6d5b2dc4d80a2c168cfc9a76dbb" ma:index="13" nillable="true" ma:taxonomy="true" ma:internalName="le58c6d5b2dc4d80a2c168cfc9a76dbb" ma:taxonomyFieldName="Record_x0020_Owner" ma:displayName="Record Owner" ma:default="" ma:fieldId="{5e58c6d5-b2dc-4d80-a2c1-68cfc9a76dbb}" ma:sspId="7ee9c10e-dcc1-455e-8e12-d7b560db6aa6" ma:termSetId="7fbdd7bd-6c54-43de-84ac-0f91360cc474" ma:anchorId="00000000-0000-0000-0000-000000000000" ma:open="false" ma:isKeyword="false">
      <xsd:complexType>
        <xsd:sequence>
          <xsd:element ref="pc:Terms" minOccurs="0" maxOccurs="1"/>
        </xsd:sequence>
      </xsd:complexType>
    </xsd:element>
    <xsd:element name="TaxCatchAll" ma:index="14" nillable="true" ma:displayName="Taxonomy Catch All Column" ma:description="" ma:hidden="true" ma:list="{afece71a-af89-491a-b2d0-4aa43e1c01bc}" ma:internalName="TaxCatchAll" ma:showField="CatchAllData" ma:web="c0d58836-5dd5-457a-9ad7-4bd3580bbb15">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description="" ma:hidden="true" ma:list="{afece71a-af89-491a-b2d0-4aa43e1c01bc}" ma:internalName="TaxCatchAllLabel" ma:readOnly="true" ma:showField="CatchAllDataLabel" ma:web="c0d58836-5dd5-457a-9ad7-4bd3580bbb15">
      <xsd:complexType>
        <xsd:complexContent>
          <xsd:extension base="dms:MultiChoiceLookup">
            <xsd:sequence>
              <xsd:element name="Value" type="dms:Lookup" maxOccurs="unbounded" minOccurs="0" nillable="true"/>
            </xsd:sequence>
          </xsd:extension>
        </xsd:complexContent>
      </xsd:complexType>
    </xsd:element>
    <xsd:element name="Retention_x0020_Category" ma:index="17" nillable="true" ma:displayName="Retention Category" ma:description="Organizational category as determined by the State of Washington." ma:hidden="true" ma:internalName="Retention_x0020_Category" ma:readOnly="false">
      <xsd:simpleType>
        <xsd:restriction base="dms:Text">
          <xsd:maxLength value="255"/>
        </xsd:restriction>
      </xsd:simpleType>
    </xsd:element>
    <xsd:element name="Retention_x0020_Sub_x0020_Category" ma:index="18" nillable="true" ma:displayName="Retention Sub Category" ma:description="Organizational  sub category as determined by the State of Washington." ma:hidden="true" ma:internalName="Retention_x0020_Sub_x0020_Category" ma:readOnly="false">
      <xsd:simpleType>
        <xsd:restriction base="dms:Text">
          <xsd:maxLength value="255"/>
        </xsd:restriction>
      </xsd:simpleType>
    </xsd:element>
    <xsd:element name="Record_x0020_Migration_x0020_Info" ma:index="19" nillable="true" ma:displayName="Record Migration Info" ma:description="This column will contain the original document path, original modified by, and Original modified for records that have been migrated from the file shares.  At some point it will become a hidden column as it will no longer be needed." ma:internalName="Record_x0020_Migration_x0020_Info">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7ee9c10e-dcc1-455e-8e12-d7b560db6aa6" ContentTypeId="0x01010033B61B9E07E0764485FE008A0B437565" PreviousValue="false"/>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3EB752-3C2E-407B-97B8-7E254200C4F5}">
  <ds:schemaRefs>
    <ds:schemaRef ds:uri="http://schemas.microsoft.com/sharepoint/events"/>
  </ds:schemaRefs>
</ds:datastoreItem>
</file>

<file path=customXml/itemProps2.xml><?xml version="1.0" encoding="utf-8"?>
<ds:datastoreItem xmlns:ds="http://schemas.openxmlformats.org/officeDocument/2006/customXml" ds:itemID="{95F14426-BEB3-4BE5-A33C-15DF04C3006F}">
  <ds:schemaRefs>
    <ds:schemaRef ds:uri="http://schemas.microsoft.com/office/2006/documentManagement/types"/>
    <ds:schemaRef ds:uri="http://schemas.openxmlformats.org/package/2006/metadata/core-properties"/>
    <ds:schemaRef ds:uri="http://schemas.microsoft.com/office/2006/metadata/properties"/>
    <ds:schemaRef ds:uri="http://purl.org/dc/elements/1.1/"/>
    <ds:schemaRef ds:uri="http://schemas.microsoft.com/office/infopath/2007/PartnerControls"/>
    <ds:schemaRef ds:uri="912d177a-6cc5-4f6e-87a1-a122c73ed428"/>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0E666FB1-7BFB-41CC-9EF7-879E66B383FE}">
  <ds:schemaRefs>
    <ds:schemaRef ds:uri="http://schemas.microsoft.com/sharepoint/v3/contenttype/forms"/>
  </ds:schemaRefs>
</ds:datastoreItem>
</file>

<file path=customXml/itemProps4.xml><?xml version="1.0" encoding="utf-8"?>
<ds:datastoreItem xmlns:ds="http://schemas.openxmlformats.org/officeDocument/2006/customXml" ds:itemID="{394A6301-FF82-47F8-B563-9734AE1BB4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2d177a-6cc5-4f6e-87a1-a122c73ed4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6810421-0EDE-453B-88F3-F5C0DC058EA6}">
  <ds:schemaRefs>
    <ds:schemaRef ds:uri="Microsoft.SharePoint.Taxonomy.ContentTypeSync"/>
  </ds:schemaRefs>
</ds:datastoreItem>
</file>

<file path=customXml/itemProps6.xml><?xml version="1.0" encoding="utf-8"?>
<ds:datastoreItem xmlns:ds="http://schemas.openxmlformats.org/officeDocument/2006/customXml" ds:itemID="{CD45B654-1FFD-4F3C-A407-CFD6D6F9B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702</Words>
  <Characters>4004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7522902824.pdf</vt:lpstr>
    </vt:vector>
  </TitlesOfParts>
  <Company/>
  <LinksUpToDate>false</LinksUpToDate>
  <CharactersWithSpaces>4697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7522902824.pdf</dc:title>
  <dc:subject/>
  <dc:creator>PerezT</dc:creator>
  <cp:keywords/>
  <cp:lastModifiedBy>Kasi M. Walker</cp:lastModifiedBy>
  <cp:revision>2</cp:revision>
  <cp:lastPrinted>2018-11-15T00:05:00Z</cp:lastPrinted>
  <dcterms:created xsi:type="dcterms:W3CDTF">2018-11-15T00:29:00Z</dcterms:created>
  <dcterms:modified xsi:type="dcterms:W3CDTF">2018-11-15T00:29:00Z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0x01010033B61B9E07E0764485FE008A0B437565000584E4F2CE87ED499F74888D2B2A9C7D</vt:lpwstr>
  </property>
  <property fmtid="{D5CDD505-2E9C-101B-9397-08002B2CF9AE}" pid="3" name="Record Owner">
    <vt:lpwstr/>
  </property>
  <property fmtid="{D5CDD505-2E9C-101B-9397-08002B2CF9AE}" pid="4" name="_dlc_policyId">
    <vt:lpwstr/>
  </property>
  <property fmtid="{D5CDD505-2E9C-101B-9397-08002B2CF9AE}" pid="5" name="ItemRetentionFormula">
    <vt:lpwstr/>
  </property>
  <property fmtid="{D5CDD505-2E9C-101B-9397-08002B2CF9AE}" pid="6" name="_dlc_DocIdItemGuid">
    <vt:lpwstr>35c9cc6e-1a36-4fce-b9e3-1c188cbee81b</vt:lpwstr>
  </property>
</Properties>
</file>