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494091" w14:textId="11BA2D55" w:rsidR="00533AA1" w:rsidRDefault="00533AA1">
      <w:pPr>
        <w:tabs>
          <w:tab w:val="center" w:pos="4320"/>
          <w:tab w:val="center" w:pos="5080"/>
          <w:tab w:val="center" w:pos="5761"/>
          <w:tab w:val="center" w:pos="7607"/>
        </w:tabs>
        <w:ind w:left="-15" w:firstLine="0"/>
        <w:rPr>
          <w:rFonts w:ascii="Calibri" w:hAnsi="Calibri" w:cs="Calibri"/>
        </w:rPr>
      </w:pPr>
    </w:p>
    <w:p w14:paraId="2E69C89B" w14:textId="2B41BB06" w:rsidR="00F16EEF" w:rsidRDefault="00F16EEF">
      <w:pPr>
        <w:tabs>
          <w:tab w:val="center" w:pos="4320"/>
          <w:tab w:val="center" w:pos="5080"/>
          <w:tab w:val="center" w:pos="5761"/>
          <w:tab w:val="center" w:pos="7607"/>
        </w:tabs>
        <w:ind w:left="-15" w:firstLine="0"/>
        <w:rPr>
          <w:rFonts w:ascii="Calibri" w:hAnsi="Calibri" w:cs="Calibri"/>
        </w:rPr>
      </w:pPr>
    </w:p>
    <w:p w14:paraId="13B0B16B" w14:textId="7C932059" w:rsidR="00F16EEF" w:rsidRDefault="00F16EEF">
      <w:pPr>
        <w:tabs>
          <w:tab w:val="center" w:pos="4320"/>
          <w:tab w:val="center" w:pos="5080"/>
          <w:tab w:val="center" w:pos="5761"/>
          <w:tab w:val="center" w:pos="7607"/>
        </w:tabs>
        <w:ind w:left="-15" w:firstLine="0"/>
        <w:rPr>
          <w:rFonts w:ascii="Calibri" w:hAnsi="Calibri" w:cs="Calibri"/>
        </w:rPr>
      </w:pPr>
    </w:p>
    <w:p w14:paraId="334CE54D" w14:textId="28059543" w:rsidR="00F16EEF" w:rsidRDefault="00F16EEF">
      <w:pPr>
        <w:tabs>
          <w:tab w:val="center" w:pos="4320"/>
          <w:tab w:val="center" w:pos="5080"/>
          <w:tab w:val="center" w:pos="5761"/>
          <w:tab w:val="center" w:pos="7607"/>
        </w:tabs>
        <w:ind w:left="-15" w:firstLine="0"/>
        <w:rPr>
          <w:rFonts w:ascii="Calibri" w:hAnsi="Calibri" w:cs="Calibri"/>
        </w:rPr>
      </w:pPr>
    </w:p>
    <w:p w14:paraId="793C0075" w14:textId="0DEA6F89" w:rsidR="00F16EEF" w:rsidRDefault="00F16EEF">
      <w:pPr>
        <w:tabs>
          <w:tab w:val="center" w:pos="4320"/>
          <w:tab w:val="center" w:pos="5080"/>
          <w:tab w:val="center" w:pos="5761"/>
          <w:tab w:val="center" w:pos="7607"/>
        </w:tabs>
        <w:ind w:left="-15" w:firstLine="0"/>
        <w:rPr>
          <w:rFonts w:ascii="Calibri" w:hAnsi="Calibri" w:cs="Calibri"/>
        </w:rPr>
      </w:pPr>
    </w:p>
    <w:p w14:paraId="75C584F4" w14:textId="358A6899" w:rsidR="00F16EEF" w:rsidRDefault="00F16EEF">
      <w:pPr>
        <w:tabs>
          <w:tab w:val="center" w:pos="4320"/>
          <w:tab w:val="center" w:pos="5080"/>
          <w:tab w:val="center" w:pos="5761"/>
          <w:tab w:val="center" w:pos="7607"/>
        </w:tabs>
        <w:ind w:left="-15" w:firstLine="0"/>
        <w:rPr>
          <w:rFonts w:ascii="Calibri" w:hAnsi="Calibri" w:cs="Calibri"/>
        </w:rPr>
      </w:pPr>
    </w:p>
    <w:p w14:paraId="19DB750D" w14:textId="1326216F" w:rsidR="00F16EEF" w:rsidRDefault="00F16EEF">
      <w:pPr>
        <w:tabs>
          <w:tab w:val="center" w:pos="4320"/>
          <w:tab w:val="center" w:pos="5080"/>
          <w:tab w:val="center" w:pos="5761"/>
          <w:tab w:val="center" w:pos="7607"/>
        </w:tabs>
        <w:ind w:left="-15" w:firstLine="0"/>
        <w:rPr>
          <w:rFonts w:ascii="Calibri" w:hAnsi="Calibri" w:cs="Calibri"/>
        </w:rPr>
      </w:pPr>
    </w:p>
    <w:p w14:paraId="38DD4B28" w14:textId="77777777" w:rsidR="00F16EEF" w:rsidRDefault="00F16EEF">
      <w:pPr>
        <w:tabs>
          <w:tab w:val="center" w:pos="4320"/>
          <w:tab w:val="center" w:pos="5080"/>
          <w:tab w:val="center" w:pos="5761"/>
          <w:tab w:val="center" w:pos="7607"/>
        </w:tabs>
        <w:ind w:left="-15" w:firstLine="0"/>
        <w:rPr>
          <w:rFonts w:ascii="Calibri" w:hAnsi="Calibri" w:cs="Calibri"/>
        </w:rPr>
      </w:pPr>
    </w:p>
    <w:p w14:paraId="7396A011" w14:textId="77777777" w:rsidR="00533AA1" w:rsidRPr="006C62FB" w:rsidRDefault="00533AA1">
      <w:pPr>
        <w:tabs>
          <w:tab w:val="center" w:pos="4320"/>
          <w:tab w:val="center" w:pos="5080"/>
          <w:tab w:val="center" w:pos="5761"/>
          <w:tab w:val="center" w:pos="7607"/>
        </w:tabs>
        <w:ind w:left="-15" w:firstLine="0"/>
        <w:rPr>
          <w:szCs w:val="24"/>
        </w:rPr>
      </w:pPr>
      <w:r w:rsidRPr="006C62FB">
        <w:rPr>
          <w:szCs w:val="24"/>
        </w:rPr>
        <w:t>November 14, 2018</w:t>
      </w:r>
    </w:p>
    <w:p w14:paraId="114C3540" w14:textId="77777777" w:rsidR="00533AA1" w:rsidRPr="006C62FB" w:rsidRDefault="00533AA1">
      <w:pPr>
        <w:tabs>
          <w:tab w:val="center" w:pos="4320"/>
          <w:tab w:val="center" w:pos="5080"/>
          <w:tab w:val="center" w:pos="5761"/>
          <w:tab w:val="center" w:pos="7607"/>
        </w:tabs>
        <w:ind w:left="-15" w:firstLine="0"/>
        <w:rPr>
          <w:szCs w:val="24"/>
        </w:rPr>
      </w:pPr>
    </w:p>
    <w:p w14:paraId="25FA5BD0" w14:textId="77777777" w:rsidR="00533AA1" w:rsidRPr="006C62FB" w:rsidRDefault="00533AA1">
      <w:pPr>
        <w:tabs>
          <w:tab w:val="center" w:pos="4320"/>
          <w:tab w:val="center" w:pos="5080"/>
          <w:tab w:val="center" w:pos="5761"/>
          <w:tab w:val="center" w:pos="7607"/>
        </w:tabs>
        <w:ind w:left="-15" w:firstLine="0"/>
        <w:rPr>
          <w:szCs w:val="24"/>
        </w:rPr>
      </w:pPr>
    </w:p>
    <w:p w14:paraId="77829190" w14:textId="77777777" w:rsidR="00533AA1" w:rsidRPr="006C62FB" w:rsidRDefault="00533AA1">
      <w:pPr>
        <w:tabs>
          <w:tab w:val="center" w:pos="4320"/>
          <w:tab w:val="center" w:pos="5080"/>
          <w:tab w:val="center" w:pos="5761"/>
          <w:tab w:val="center" w:pos="7607"/>
        </w:tabs>
        <w:ind w:left="-15" w:firstLine="0"/>
        <w:rPr>
          <w:szCs w:val="24"/>
        </w:rPr>
      </w:pPr>
      <w:r w:rsidRPr="006C62FB">
        <w:rPr>
          <w:szCs w:val="24"/>
        </w:rPr>
        <w:t>VIA ELECTRONIC FILING</w:t>
      </w:r>
    </w:p>
    <w:p w14:paraId="029252C5" w14:textId="77777777" w:rsidR="00533AA1" w:rsidRPr="006C62FB" w:rsidRDefault="00533AA1">
      <w:pPr>
        <w:tabs>
          <w:tab w:val="center" w:pos="4320"/>
          <w:tab w:val="center" w:pos="5080"/>
          <w:tab w:val="center" w:pos="5761"/>
          <w:tab w:val="center" w:pos="7607"/>
        </w:tabs>
        <w:ind w:left="-15" w:firstLine="0"/>
        <w:rPr>
          <w:szCs w:val="24"/>
        </w:rPr>
      </w:pPr>
    </w:p>
    <w:p w14:paraId="1081EECF" w14:textId="269224CC" w:rsidR="00533AA1" w:rsidRPr="006C62FB" w:rsidRDefault="00533AA1">
      <w:pPr>
        <w:tabs>
          <w:tab w:val="center" w:pos="4320"/>
          <w:tab w:val="center" w:pos="5080"/>
          <w:tab w:val="center" w:pos="5761"/>
          <w:tab w:val="center" w:pos="7607"/>
        </w:tabs>
        <w:ind w:left="-15" w:firstLine="0"/>
        <w:rPr>
          <w:szCs w:val="24"/>
        </w:rPr>
      </w:pPr>
      <w:r w:rsidRPr="006C62FB">
        <w:rPr>
          <w:szCs w:val="24"/>
        </w:rPr>
        <w:t xml:space="preserve">Chairman </w:t>
      </w:r>
      <w:proofErr w:type="spellStart"/>
      <w:r w:rsidRPr="006C62FB">
        <w:rPr>
          <w:szCs w:val="24"/>
        </w:rPr>
        <w:t>Ajit</w:t>
      </w:r>
      <w:proofErr w:type="spellEnd"/>
      <w:r w:rsidRPr="006C62FB">
        <w:rPr>
          <w:szCs w:val="24"/>
        </w:rPr>
        <w:t xml:space="preserve"> Pai</w:t>
      </w:r>
      <w:r w:rsidR="006C0EF3" w:rsidRPr="006C62FB">
        <w:rPr>
          <w:szCs w:val="24"/>
        </w:rPr>
        <w:t>;</w:t>
      </w:r>
    </w:p>
    <w:p w14:paraId="3C47CDD9" w14:textId="4F9A5BFB" w:rsidR="006C0EF3" w:rsidRPr="006C62FB" w:rsidRDefault="006C0EF3">
      <w:pPr>
        <w:tabs>
          <w:tab w:val="center" w:pos="4320"/>
          <w:tab w:val="center" w:pos="5080"/>
          <w:tab w:val="center" w:pos="5761"/>
          <w:tab w:val="center" w:pos="7607"/>
        </w:tabs>
        <w:ind w:left="-15" w:firstLine="0"/>
        <w:rPr>
          <w:szCs w:val="24"/>
        </w:rPr>
      </w:pPr>
      <w:r w:rsidRPr="006C62FB">
        <w:rPr>
          <w:szCs w:val="24"/>
        </w:rPr>
        <w:t xml:space="preserve">Commissioner Brendan </w:t>
      </w:r>
      <w:proofErr w:type="spellStart"/>
      <w:r w:rsidRPr="006C62FB">
        <w:rPr>
          <w:szCs w:val="24"/>
        </w:rPr>
        <w:t>Carr</w:t>
      </w:r>
      <w:proofErr w:type="spellEnd"/>
      <w:r w:rsidRPr="006C62FB">
        <w:rPr>
          <w:szCs w:val="24"/>
        </w:rPr>
        <w:t>;</w:t>
      </w:r>
    </w:p>
    <w:p w14:paraId="630313C4" w14:textId="53703F9E" w:rsidR="006C0EF3" w:rsidRPr="006C62FB" w:rsidRDefault="006C0EF3">
      <w:pPr>
        <w:tabs>
          <w:tab w:val="center" w:pos="4320"/>
          <w:tab w:val="center" w:pos="5080"/>
          <w:tab w:val="center" w:pos="5761"/>
          <w:tab w:val="center" w:pos="7607"/>
        </w:tabs>
        <w:ind w:left="-15" w:firstLine="0"/>
        <w:rPr>
          <w:szCs w:val="24"/>
        </w:rPr>
      </w:pPr>
      <w:r w:rsidRPr="006C62FB">
        <w:rPr>
          <w:szCs w:val="24"/>
        </w:rPr>
        <w:t>Comm</w:t>
      </w:r>
      <w:r w:rsidR="006636A3" w:rsidRPr="006C62FB">
        <w:rPr>
          <w:szCs w:val="24"/>
        </w:rPr>
        <w:t>issioner</w:t>
      </w:r>
      <w:r w:rsidRPr="006C62FB">
        <w:rPr>
          <w:szCs w:val="24"/>
        </w:rPr>
        <w:t xml:space="preserve"> Michael O’Reilly; and </w:t>
      </w:r>
    </w:p>
    <w:p w14:paraId="351DD3FC" w14:textId="72D31323" w:rsidR="006C0EF3" w:rsidRPr="006C62FB" w:rsidRDefault="006C0EF3">
      <w:pPr>
        <w:tabs>
          <w:tab w:val="center" w:pos="4320"/>
          <w:tab w:val="center" w:pos="5080"/>
          <w:tab w:val="center" w:pos="5761"/>
          <w:tab w:val="center" w:pos="7607"/>
        </w:tabs>
        <w:ind w:left="-15" w:firstLine="0"/>
        <w:rPr>
          <w:szCs w:val="24"/>
        </w:rPr>
      </w:pPr>
      <w:r w:rsidRPr="006C62FB">
        <w:rPr>
          <w:szCs w:val="24"/>
        </w:rPr>
        <w:t xml:space="preserve">Commissioner Jessica </w:t>
      </w:r>
      <w:proofErr w:type="spellStart"/>
      <w:r w:rsidRPr="006C62FB">
        <w:rPr>
          <w:szCs w:val="24"/>
        </w:rPr>
        <w:t>Rosenworcel</w:t>
      </w:r>
      <w:proofErr w:type="spellEnd"/>
    </w:p>
    <w:p w14:paraId="7740D3F2" w14:textId="77777777" w:rsidR="00533AA1" w:rsidRPr="006C62FB" w:rsidRDefault="00533AA1">
      <w:pPr>
        <w:tabs>
          <w:tab w:val="center" w:pos="4320"/>
          <w:tab w:val="center" w:pos="5080"/>
          <w:tab w:val="center" w:pos="5761"/>
          <w:tab w:val="center" w:pos="7607"/>
        </w:tabs>
        <w:ind w:left="-15" w:firstLine="0"/>
        <w:rPr>
          <w:szCs w:val="24"/>
        </w:rPr>
      </w:pPr>
      <w:r w:rsidRPr="006C62FB">
        <w:rPr>
          <w:szCs w:val="24"/>
        </w:rPr>
        <w:t>Federal Communications Commission</w:t>
      </w:r>
      <w:bookmarkStart w:id="0" w:name="_GoBack"/>
      <w:bookmarkEnd w:id="0"/>
    </w:p>
    <w:p w14:paraId="0D419002" w14:textId="77777777" w:rsidR="00533AA1" w:rsidRPr="006C62FB" w:rsidRDefault="00533AA1">
      <w:pPr>
        <w:tabs>
          <w:tab w:val="center" w:pos="4320"/>
          <w:tab w:val="center" w:pos="5080"/>
          <w:tab w:val="center" w:pos="5761"/>
          <w:tab w:val="center" w:pos="7607"/>
        </w:tabs>
        <w:ind w:left="-15" w:firstLine="0"/>
        <w:rPr>
          <w:szCs w:val="24"/>
        </w:rPr>
      </w:pPr>
      <w:r w:rsidRPr="006C62FB">
        <w:rPr>
          <w:szCs w:val="24"/>
        </w:rPr>
        <w:t>445 12</w:t>
      </w:r>
      <w:r w:rsidRPr="006C62FB">
        <w:rPr>
          <w:szCs w:val="24"/>
          <w:vertAlign w:val="superscript"/>
        </w:rPr>
        <w:t>th</w:t>
      </w:r>
      <w:r w:rsidRPr="006C62FB">
        <w:rPr>
          <w:szCs w:val="24"/>
        </w:rPr>
        <w:t xml:space="preserve"> Street, SW</w:t>
      </w:r>
    </w:p>
    <w:p w14:paraId="15DDAD96" w14:textId="3CD5459F" w:rsidR="00533AA1" w:rsidRPr="006C62FB" w:rsidRDefault="00533AA1">
      <w:pPr>
        <w:tabs>
          <w:tab w:val="center" w:pos="4320"/>
          <w:tab w:val="center" w:pos="5080"/>
          <w:tab w:val="center" w:pos="5761"/>
          <w:tab w:val="center" w:pos="7607"/>
        </w:tabs>
        <w:ind w:left="-15" w:firstLine="0"/>
        <w:rPr>
          <w:szCs w:val="24"/>
        </w:rPr>
      </w:pPr>
      <w:r w:rsidRPr="006C62FB">
        <w:rPr>
          <w:szCs w:val="24"/>
        </w:rPr>
        <w:t>Washington, D.C. 20554</w:t>
      </w:r>
    </w:p>
    <w:p w14:paraId="197546DA" w14:textId="77777777" w:rsidR="00533AA1" w:rsidRPr="006C62FB" w:rsidRDefault="00533AA1" w:rsidP="006C0EF3">
      <w:pPr>
        <w:tabs>
          <w:tab w:val="center" w:pos="4320"/>
          <w:tab w:val="center" w:pos="5080"/>
          <w:tab w:val="center" w:pos="5761"/>
          <w:tab w:val="center" w:pos="7607"/>
        </w:tabs>
        <w:ind w:left="0" w:firstLine="0"/>
        <w:rPr>
          <w:szCs w:val="24"/>
        </w:rPr>
      </w:pPr>
    </w:p>
    <w:p w14:paraId="6030EBD7" w14:textId="200BBDC4" w:rsidR="008E38FF" w:rsidRPr="006C62FB" w:rsidRDefault="00533AA1" w:rsidP="00533AA1">
      <w:pPr>
        <w:tabs>
          <w:tab w:val="left" w:pos="360"/>
          <w:tab w:val="center" w:pos="4320"/>
          <w:tab w:val="center" w:pos="5080"/>
          <w:tab w:val="center" w:pos="5761"/>
          <w:tab w:val="center" w:pos="7607"/>
        </w:tabs>
        <w:ind w:left="-15" w:firstLine="0"/>
        <w:rPr>
          <w:szCs w:val="24"/>
        </w:rPr>
      </w:pPr>
      <w:r w:rsidRPr="006C62FB">
        <w:rPr>
          <w:szCs w:val="24"/>
        </w:rPr>
        <w:tab/>
        <w:t xml:space="preserve">RE:  </w:t>
      </w:r>
      <w:r w:rsidR="008E38FF" w:rsidRPr="006C62FB">
        <w:rPr>
          <w:szCs w:val="24"/>
        </w:rPr>
        <w:t xml:space="preserve"> </w:t>
      </w:r>
      <w:r w:rsidRPr="006C62FB">
        <w:rPr>
          <w:szCs w:val="24"/>
        </w:rPr>
        <w:t xml:space="preserve">MB Docket No. 05-311.  </w:t>
      </w:r>
      <w:r w:rsidR="008E38FF" w:rsidRPr="006C62FB">
        <w:rPr>
          <w:szCs w:val="24"/>
        </w:rPr>
        <w:t>Second Further Notice of Proposed Rulemaking</w:t>
      </w:r>
    </w:p>
    <w:p w14:paraId="41B88718" w14:textId="77777777" w:rsidR="008E38FF" w:rsidRPr="006C62FB" w:rsidRDefault="008E38FF" w:rsidP="008E38FF">
      <w:pPr>
        <w:tabs>
          <w:tab w:val="left" w:pos="360"/>
          <w:tab w:val="center" w:pos="4320"/>
          <w:tab w:val="center" w:pos="5080"/>
          <w:tab w:val="center" w:pos="5761"/>
          <w:tab w:val="center" w:pos="7607"/>
        </w:tabs>
        <w:ind w:left="-15" w:firstLine="0"/>
        <w:rPr>
          <w:szCs w:val="24"/>
        </w:rPr>
      </w:pPr>
      <w:r w:rsidRPr="006C62FB">
        <w:rPr>
          <w:szCs w:val="24"/>
        </w:rPr>
        <w:tab/>
        <w:t xml:space="preserve">         </w:t>
      </w:r>
      <w:r w:rsidR="00533AA1" w:rsidRPr="006C62FB">
        <w:rPr>
          <w:szCs w:val="24"/>
        </w:rPr>
        <w:t xml:space="preserve">Implementation </w:t>
      </w:r>
      <w:r w:rsidR="00533AA1" w:rsidRPr="001247A3">
        <w:rPr>
          <w:szCs w:val="24"/>
        </w:rPr>
        <w:t>of</w:t>
      </w:r>
      <w:r w:rsidR="00533AA1" w:rsidRPr="006C62FB">
        <w:rPr>
          <w:szCs w:val="24"/>
        </w:rPr>
        <w:t xml:space="preserve"> Section 621(a)(1) of the Cable</w:t>
      </w:r>
      <w:r w:rsidRPr="006C62FB">
        <w:rPr>
          <w:szCs w:val="24"/>
        </w:rPr>
        <w:t xml:space="preserve"> </w:t>
      </w:r>
      <w:r w:rsidR="00570C6B" w:rsidRPr="006C62FB">
        <w:rPr>
          <w:szCs w:val="24"/>
        </w:rPr>
        <w:tab/>
      </w:r>
      <w:r w:rsidR="00533AA1" w:rsidRPr="006C62FB">
        <w:rPr>
          <w:szCs w:val="24"/>
        </w:rPr>
        <w:t xml:space="preserve">Communications Policy Act of 1984 </w:t>
      </w:r>
    </w:p>
    <w:p w14:paraId="77A245E9" w14:textId="0C6FA4F2" w:rsidR="00ED1553" w:rsidRPr="006C62FB" w:rsidRDefault="008E38FF" w:rsidP="001247A3">
      <w:pPr>
        <w:tabs>
          <w:tab w:val="left" w:pos="360"/>
          <w:tab w:val="center" w:pos="4320"/>
          <w:tab w:val="center" w:pos="5080"/>
          <w:tab w:val="center" w:pos="5761"/>
          <w:tab w:val="center" w:pos="7607"/>
        </w:tabs>
        <w:ind w:left="900" w:hanging="915"/>
        <w:rPr>
          <w:szCs w:val="24"/>
        </w:rPr>
      </w:pPr>
      <w:r w:rsidRPr="006C62FB">
        <w:rPr>
          <w:szCs w:val="24"/>
        </w:rPr>
        <w:tab/>
        <w:t xml:space="preserve">         </w:t>
      </w:r>
      <w:r w:rsidR="00533AA1" w:rsidRPr="006C62FB">
        <w:rPr>
          <w:szCs w:val="24"/>
        </w:rPr>
        <w:t>as Amended</w:t>
      </w:r>
      <w:r w:rsidRPr="006C62FB">
        <w:rPr>
          <w:szCs w:val="24"/>
        </w:rPr>
        <w:t xml:space="preserve"> </w:t>
      </w:r>
      <w:r w:rsidR="00533AA1" w:rsidRPr="006C62FB">
        <w:rPr>
          <w:szCs w:val="24"/>
        </w:rPr>
        <w:t xml:space="preserve">by the Cable Television </w:t>
      </w:r>
      <w:r w:rsidRPr="006C62FB">
        <w:rPr>
          <w:szCs w:val="24"/>
        </w:rPr>
        <w:tab/>
      </w:r>
      <w:r w:rsidR="00533AA1" w:rsidRPr="006C62FB">
        <w:rPr>
          <w:szCs w:val="24"/>
        </w:rPr>
        <w:t>Consumer Protection and</w:t>
      </w:r>
      <w:r w:rsidRPr="006C62FB">
        <w:rPr>
          <w:szCs w:val="24"/>
        </w:rPr>
        <w:t xml:space="preserve"> </w:t>
      </w:r>
      <w:r w:rsidR="00851C3C" w:rsidRPr="006C62FB">
        <w:rPr>
          <w:szCs w:val="24"/>
        </w:rPr>
        <w:t xml:space="preserve">Competition Act of </w:t>
      </w:r>
      <w:r w:rsidR="001247A3">
        <w:rPr>
          <w:szCs w:val="24"/>
        </w:rPr>
        <w:t xml:space="preserve"> </w:t>
      </w:r>
      <w:r w:rsidR="00851C3C" w:rsidRPr="006C62FB">
        <w:rPr>
          <w:szCs w:val="24"/>
        </w:rPr>
        <w:t>1992</w:t>
      </w:r>
    </w:p>
    <w:p w14:paraId="1E79961D" w14:textId="39808B83" w:rsidR="006C0EF3" w:rsidRPr="006C62FB" w:rsidRDefault="006C0EF3" w:rsidP="00533AA1">
      <w:pPr>
        <w:spacing w:after="0" w:line="259" w:lineRule="auto"/>
        <w:ind w:left="18" w:right="3"/>
        <w:rPr>
          <w:szCs w:val="24"/>
        </w:rPr>
      </w:pPr>
    </w:p>
    <w:p w14:paraId="2901D7F0" w14:textId="77777777" w:rsidR="006C0EF3" w:rsidRPr="006C62FB" w:rsidRDefault="006C0EF3" w:rsidP="006C0EF3">
      <w:pPr>
        <w:tabs>
          <w:tab w:val="center" w:pos="4320"/>
          <w:tab w:val="center" w:pos="5080"/>
          <w:tab w:val="center" w:pos="5761"/>
          <w:tab w:val="center" w:pos="7607"/>
        </w:tabs>
        <w:ind w:left="-15" w:firstLine="0"/>
        <w:rPr>
          <w:szCs w:val="24"/>
        </w:rPr>
      </w:pPr>
      <w:r w:rsidRPr="006C62FB">
        <w:rPr>
          <w:szCs w:val="24"/>
        </w:rPr>
        <w:t xml:space="preserve">Honorable Chairman Pai and Commissioners </w:t>
      </w:r>
      <w:proofErr w:type="spellStart"/>
      <w:r w:rsidRPr="006C62FB">
        <w:rPr>
          <w:szCs w:val="24"/>
        </w:rPr>
        <w:t>Carr</w:t>
      </w:r>
      <w:proofErr w:type="spellEnd"/>
      <w:r w:rsidRPr="006C62FB">
        <w:rPr>
          <w:szCs w:val="24"/>
        </w:rPr>
        <w:t xml:space="preserve">, O’Reilly and </w:t>
      </w:r>
      <w:proofErr w:type="spellStart"/>
      <w:r w:rsidRPr="006C62FB">
        <w:rPr>
          <w:szCs w:val="24"/>
        </w:rPr>
        <w:t>Rosenworcel</w:t>
      </w:r>
      <w:proofErr w:type="spellEnd"/>
      <w:r w:rsidRPr="006C62FB">
        <w:rPr>
          <w:szCs w:val="24"/>
        </w:rPr>
        <w:t>:</w:t>
      </w:r>
    </w:p>
    <w:p w14:paraId="5683FD30" w14:textId="3075ABCE" w:rsidR="005D2129" w:rsidRPr="006C62FB" w:rsidRDefault="005D2129" w:rsidP="006C0EF3">
      <w:pPr>
        <w:spacing w:after="0" w:line="259" w:lineRule="auto"/>
        <w:ind w:left="0" w:firstLine="0"/>
        <w:rPr>
          <w:szCs w:val="24"/>
        </w:rPr>
      </w:pPr>
    </w:p>
    <w:p w14:paraId="39A03F81" w14:textId="4D20FA08" w:rsidR="00D36340" w:rsidRPr="006C62FB" w:rsidRDefault="00A93BA5" w:rsidP="00D36340">
      <w:pPr>
        <w:spacing w:after="0" w:line="240" w:lineRule="auto"/>
        <w:ind w:left="0" w:firstLine="720"/>
        <w:jc w:val="both"/>
        <w:rPr>
          <w:szCs w:val="24"/>
        </w:rPr>
      </w:pPr>
      <w:r w:rsidRPr="006C62FB">
        <w:rPr>
          <w:szCs w:val="24"/>
        </w:rPr>
        <w:t>The Town of Hingham</w:t>
      </w:r>
      <w:r w:rsidR="006459C0" w:rsidRPr="006C62FB">
        <w:rPr>
          <w:szCs w:val="24"/>
        </w:rPr>
        <w:t xml:space="preserve"> (</w:t>
      </w:r>
      <w:r w:rsidRPr="006C62FB">
        <w:rPr>
          <w:szCs w:val="24"/>
        </w:rPr>
        <w:t>Massachusetts</w:t>
      </w:r>
      <w:r w:rsidR="006459C0" w:rsidRPr="006C62FB">
        <w:rPr>
          <w:szCs w:val="24"/>
        </w:rPr>
        <w:t xml:space="preserve">) Cable TV Advisory Committee </w:t>
      </w:r>
      <w:r w:rsidR="00212E8E" w:rsidRPr="006C62FB">
        <w:rPr>
          <w:szCs w:val="24"/>
        </w:rPr>
        <w:t>appreciate</w:t>
      </w:r>
      <w:r w:rsidR="006459C0" w:rsidRPr="006C62FB">
        <w:rPr>
          <w:szCs w:val="24"/>
        </w:rPr>
        <w:t>s</w:t>
      </w:r>
      <w:r w:rsidR="00212E8E" w:rsidRPr="006C62FB">
        <w:rPr>
          <w:szCs w:val="24"/>
        </w:rPr>
        <w:t xml:space="preserve"> the opportunity to file comments on the Second Further Notice and Proposed Rulemaking (“FNPRM”) with the Commission.  </w:t>
      </w:r>
      <w:r w:rsidR="006459C0" w:rsidRPr="006C62FB">
        <w:rPr>
          <w:szCs w:val="24"/>
        </w:rPr>
        <w:t xml:space="preserve">The Cable TV Advisory Committee (“Cable Advisory Committee”) </w:t>
      </w:r>
      <w:r w:rsidR="006636A3" w:rsidRPr="006C62FB">
        <w:rPr>
          <w:szCs w:val="24"/>
        </w:rPr>
        <w:t xml:space="preserve">has a leading role </w:t>
      </w:r>
      <w:r w:rsidR="00032406" w:rsidRPr="006C62FB">
        <w:rPr>
          <w:szCs w:val="24"/>
        </w:rPr>
        <w:t xml:space="preserve">both </w:t>
      </w:r>
      <w:r w:rsidR="006636A3" w:rsidRPr="006C62FB">
        <w:rPr>
          <w:szCs w:val="24"/>
        </w:rPr>
        <w:t xml:space="preserve">in ascertaining the future cable-related needs and interests of Hingham for cable licensing and </w:t>
      </w:r>
      <w:r w:rsidR="006459C0" w:rsidRPr="006C62FB">
        <w:rPr>
          <w:szCs w:val="24"/>
        </w:rPr>
        <w:t xml:space="preserve">related </w:t>
      </w:r>
      <w:r w:rsidR="006636A3" w:rsidRPr="006C62FB">
        <w:rPr>
          <w:szCs w:val="24"/>
        </w:rPr>
        <w:t xml:space="preserve">purposes, and in overseeing, </w:t>
      </w:r>
      <w:r w:rsidR="00032406" w:rsidRPr="006C62FB">
        <w:rPr>
          <w:szCs w:val="24"/>
        </w:rPr>
        <w:t xml:space="preserve">cable television matters, </w:t>
      </w:r>
      <w:r w:rsidR="006636A3" w:rsidRPr="006C62FB">
        <w:rPr>
          <w:szCs w:val="24"/>
        </w:rPr>
        <w:t>on behalf of the Board of Selectmen</w:t>
      </w:r>
      <w:r w:rsidR="00032406" w:rsidRPr="006C62FB">
        <w:rPr>
          <w:szCs w:val="24"/>
        </w:rPr>
        <w:t xml:space="preserve"> (the Town’s cable license “Issuing Authority”).  </w:t>
      </w:r>
      <w:r w:rsidR="006636A3" w:rsidRPr="006C62FB">
        <w:rPr>
          <w:szCs w:val="24"/>
        </w:rPr>
        <w:t>It is from this perspective that the risk and harm that would result from the FNPRM’s tentative conclusion that the value of a cable operator’s  “cable-related in-kind contributions” should be deemed to be a franchise fee</w:t>
      </w:r>
      <w:r w:rsidR="006459C0" w:rsidRPr="006C62FB">
        <w:rPr>
          <w:szCs w:val="24"/>
        </w:rPr>
        <w:t>,</w:t>
      </w:r>
      <w:r w:rsidR="006636A3" w:rsidRPr="006C62FB">
        <w:rPr>
          <w:szCs w:val="24"/>
        </w:rPr>
        <w:t xml:space="preserve"> subject to </w:t>
      </w:r>
      <w:r w:rsidR="00032406" w:rsidRPr="006C62FB">
        <w:rPr>
          <w:szCs w:val="24"/>
        </w:rPr>
        <w:t xml:space="preserve">being deducted from the cable operator’s franchise fee obligations, </w:t>
      </w:r>
      <w:r w:rsidR="006636A3" w:rsidRPr="006C62FB">
        <w:rPr>
          <w:szCs w:val="24"/>
        </w:rPr>
        <w:t xml:space="preserve">is </w:t>
      </w:r>
      <w:r w:rsidR="006459C0" w:rsidRPr="006C62FB">
        <w:rPr>
          <w:szCs w:val="24"/>
        </w:rPr>
        <w:t>evident and of great concern</w:t>
      </w:r>
      <w:r w:rsidR="006636A3" w:rsidRPr="006C62FB">
        <w:rPr>
          <w:szCs w:val="24"/>
        </w:rPr>
        <w:t xml:space="preserve">. </w:t>
      </w:r>
      <w:r w:rsidR="003B65E6" w:rsidRPr="006C62FB">
        <w:rPr>
          <w:szCs w:val="24"/>
        </w:rPr>
        <w:t xml:space="preserve"> By changing years of accepted practice resulting from good-faith negotiations between </w:t>
      </w:r>
      <w:r w:rsidR="006459C0" w:rsidRPr="006C62FB">
        <w:rPr>
          <w:szCs w:val="24"/>
        </w:rPr>
        <w:t>municipalities</w:t>
      </w:r>
      <w:r w:rsidR="003B65E6" w:rsidRPr="006C62FB">
        <w:rPr>
          <w:szCs w:val="24"/>
        </w:rPr>
        <w:t xml:space="preserve"> and cable operators, </w:t>
      </w:r>
      <w:r w:rsidR="006459C0" w:rsidRPr="006C62FB">
        <w:rPr>
          <w:szCs w:val="24"/>
        </w:rPr>
        <w:t xml:space="preserve">the proposed rule would </w:t>
      </w:r>
      <w:r w:rsidR="00D36340" w:rsidRPr="006C62FB">
        <w:rPr>
          <w:szCs w:val="24"/>
        </w:rPr>
        <w:t xml:space="preserve">unreasonably and without good reason, interfere with </w:t>
      </w:r>
      <w:r w:rsidR="006459C0" w:rsidRPr="006C62FB">
        <w:rPr>
          <w:szCs w:val="24"/>
        </w:rPr>
        <w:t>mutually agree</w:t>
      </w:r>
      <w:r w:rsidR="002B2F3B" w:rsidRPr="006C62FB">
        <w:rPr>
          <w:szCs w:val="24"/>
        </w:rPr>
        <w:t>d</w:t>
      </w:r>
      <w:r w:rsidR="006459C0" w:rsidRPr="006C62FB">
        <w:rPr>
          <w:szCs w:val="24"/>
        </w:rPr>
        <w:t xml:space="preserve"> upon terms negotiated and agreed to by franchising authorities and cable operators.  </w:t>
      </w:r>
    </w:p>
    <w:p w14:paraId="4AAABBF1" w14:textId="77777777" w:rsidR="00D36340" w:rsidRPr="006C62FB" w:rsidRDefault="00D36340" w:rsidP="00D36340">
      <w:pPr>
        <w:spacing w:after="0" w:line="240" w:lineRule="auto"/>
        <w:ind w:left="0" w:firstLine="720"/>
        <w:jc w:val="both"/>
        <w:rPr>
          <w:szCs w:val="24"/>
        </w:rPr>
      </w:pPr>
    </w:p>
    <w:p w14:paraId="476ABDBD" w14:textId="71BA2C70" w:rsidR="004E583A" w:rsidRDefault="00E645E9" w:rsidP="0076639F">
      <w:pPr>
        <w:spacing w:after="0" w:line="240" w:lineRule="auto"/>
        <w:ind w:left="0" w:firstLine="720"/>
        <w:jc w:val="both"/>
        <w:rPr>
          <w:szCs w:val="24"/>
        </w:rPr>
      </w:pPr>
      <w:r>
        <w:rPr>
          <w:szCs w:val="24"/>
        </w:rPr>
        <w:t xml:space="preserve">The Town of Hingham is served by both Comcast and Verizon, both of which have been granted cable licenses by the Town’s Board of Selectmen.  This past </w:t>
      </w:r>
      <w:r w:rsidR="004E583A">
        <w:rPr>
          <w:szCs w:val="24"/>
        </w:rPr>
        <w:t xml:space="preserve">April, the Town granted a </w:t>
      </w:r>
      <w:r w:rsidR="004E583A">
        <w:rPr>
          <w:szCs w:val="24"/>
        </w:rPr>
        <w:lastRenderedPageBreak/>
        <w:t xml:space="preserve">renewal license to Verizon, and the cable license renewal process is currently proceeding ahead with Comcast.  Both the current and former cable licenses of Verizon and Comcast were reached by siting down and negotiating terms and conditions, including </w:t>
      </w:r>
      <w:r w:rsidR="004E583A" w:rsidRPr="006C62FB">
        <w:rPr>
          <w:szCs w:val="24"/>
        </w:rPr>
        <w:t xml:space="preserve">cable-related in-kind </w:t>
      </w:r>
      <w:r w:rsidR="004E583A">
        <w:rPr>
          <w:szCs w:val="24"/>
        </w:rPr>
        <w:t xml:space="preserve">commitments. </w:t>
      </w:r>
    </w:p>
    <w:p w14:paraId="79A0D969" w14:textId="77777777" w:rsidR="004E583A" w:rsidRDefault="004E583A" w:rsidP="0076639F">
      <w:pPr>
        <w:spacing w:after="0" w:line="240" w:lineRule="auto"/>
        <w:ind w:left="0" w:firstLine="720"/>
        <w:jc w:val="both"/>
        <w:rPr>
          <w:szCs w:val="24"/>
        </w:rPr>
      </w:pPr>
    </w:p>
    <w:p w14:paraId="7AF50DA7" w14:textId="64FDD9FE" w:rsidR="0076639F" w:rsidRPr="006C62FB" w:rsidRDefault="00212E8E" w:rsidP="0076639F">
      <w:pPr>
        <w:spacing w:after="0" w:line="240" w:lineRule="auto"/>
        <w:ind w:left="0" w:firstLine="720"/>
        <w:jc w:val="both"/>
        <w:rPr>
          <w:szCs w:val="24"/>
        </w:rPr>
      </w:pPr>
      <w:r w:rsidRPr="006C62FB">
        <w:rPr>
          <w:szCs w:val="24"/>
        </w:rPr>
        <w:t xml:space="preserve">The Town of Hingham has an active and vibrant Public, Education and Government (“PEG”) Access program, operated by </w:t>
      </w:r>
      <w:r w:rsidR="006636A3" w:rsidRPr="006C62FB">
        <w:rPr>
          <w:szCs w:val="24"/>
        </w:rPr>
        <w:t>Harbor Media, a non-profit corporation</w:t>
      </w:r>
      <w:r w:rsidR="002B2F3B" w:rsidRPr="006C62FB">
        <w:rPr>
          <w:szCs w:val="24"/>
        </w:rPr>
        <w:t xml:space="preserve">, which has a grant agreement with the Town of Hingham to serve the public.  Harbor Media has, in less than seven (7) years, become an integral part of the Hingham community, connecting residents, businesses, community organization and places of worship to each other.  Harbor Media is part of and foster the local economy, as well as arts, culture, </w:t>
      </w:r>
      <w:r w:rsidR="006C62FB" w:rsidRPr="006C62FB">
        <w:rPr>
          <w:szCs w:val="24"/>
        </w:rPr>
        <w:t xml:space="preserve">local and national history, </w:t>
      </w:r>
      <w:r w:rsidR="002B2F3B" w:rsidRPr="006C62FB">
        <w:rPr>
          <w:szCs w:val="24"/>
        </w:rPr>
        <w:t>sports and many other participator activities and events.</w:t>
      </w:r>
      <w:r w:rsidR="0076639F" w:rsidRPr="006C62FB">
        <w:rPr>
          <w:szCs w:val="24"/>
        </w:rPr>
        <w:t xml:space="preserve">  Harbor Media also provides live and taped coverage of many Town of Hingham board, commission and committee meetings, as well as coverage of annual and special town meeting, the Town’s legislative body.  Also shown are programs and interviews with various Town officials and employees, and coverage of important town events and celebrations.  Political events, such as, candidate debates are also cablecast. </w:t>
      </w:r>
    </w:p>
    <w:p w14:paraId="5A354045" w14:textId="77777777" w:rsidR="00D36340" w:rsidRPr="006C62FB" w:rsidRDefault="00D36340" w:rsidP="00D36340">
      <w:pPr>
        <w:spacing w:after="0" w:line="240" w:lineRule="auto"/>
        <w:ind w:left="0" w:firstLine="720"/>
        <w:jc w:val="both"/>
        <w:rPr>
          <w:szCs w:val="24"/>
        </w:rPr>
      </w:pPr>
    </w:p>
    <w:p w14:paraId="7EA891D9" w14:textId="7AC6F314" w:rsidR="006C62FB" w:rsidRPr="006C62FB" w:rsidRDefault="006636A3" w:rsidP="006C62FB">
      <w:pPr>
        <w:spacing w:after="0" w:line="240" w:lineRule="auto"/>
        <w:ind w:left="0" w:firstLine="720"/>
        <w:jc w:val="both"/>
        <w:rPr>
          <w:szCs w:val="24"/>
        </w:rPr>
      </w:pPr>
      <w:r w:rsidRPr="006C62FB">
        <w:rPr>
          <w:szCs w:val="24"/>
        </w:rPr>
        <w:t xml:space="preserve"> </w:t>
      </w:r>
      <w:r w:rsidR="00F16EEF" w:rsidRPr="006C62FB">
        <w:rPr>
          <w:szCs w:val="24"/>
        </w:rPr>
        <w:t>T</w:t>
      </w:r>
      <w:r w:rsidR="007E7C71" w:rsidRPr="006C62FB">
        <w:rPr>
          <w:szCs w:val="24"/>
        </w:rPr>
        <w:t xml:space="preserve">he </w:t>
      </w:r>
      <w:r w:rsidR="006C62FB" w:rsidRPr="006C62FB">
        <w:rPr>
          <w:szCs w:val="24"/>
        </w:rPr>
        <w:t>Cable Advisory Committee strongly</w:t>
      </w:r>
      <w:r w:rsidR="00846F91" w:rsidRPr="006C62FB">
        <w:rPr>
          <w:szCs w:val="24"/>
        </w:rPr>
        <w:t xml:space="preserve"> </w:t>
      </w:r>
      <w:r w:rsidR="007E7C71" w:rsidRPr="006C62FB">
        <w:rPr>
          <w:szCs w:val="24"/>
        </w:rPr>
        <w:t>oppose</w:t>
      </w:r>
      <w:r w:rsidR="00F16EEF" w:rsidRPr="006C62FB">
        <w:rPr>
          <w:szCs w:val="24"/>
        </w:rPr>
        <w:t>s</w:t>
      </w:r>
      <w:r w:rsidR="007E7C71" w:rsidRPr="006C62FB">
        <w:rPr>
          <w:szCs w:val="24"/>
        </w:rPr>
        <w:t xml:space="preserve"> the </w:t>
      </w:r>
      <w:r w:rsidR="002064E8" w:rsidRPr="006C62FB">
        <w:rPr>
          <w:szCs w:val="24"/>
        </w:rPr>
        <w:t xml:space="preserve">tentative conclusion, contained in the </w:t>
      </w:r>
      <w:r w:rsidR="007E7C71" w:rsidRPr="006C62FB">
        <w:rPr>
          <w:szCs w:val="24"/>
        </w:rPr>
        <w:t xml:space="preserve">proposed rulemaking </w:t>
      </w:r>
      <w:r w:rsidR="002064E8" w:rsidRPr="006C62FB">
        <w:rPr>
          <w:szCs w:val="24"/>
        </w:rPr>
        <w:t>of the Second Further Notice of Proposed Rulemaking (“FNPRM”)</w:t>
      </w:r>
      <w:r w:rsidR="00750D36" w:rsidRPr="006C62FB">
        <w:rPr>
          <w:szCs w:val="24"/>
        </w:rPr>
        <w:t xml:space="preserve">, that </w:t>
      </w:r>
      <w:bookmarkStart w:id="1" w:name="_Hlk529975791"/>
      <w:r w:rsidR="00750D36" w:rsidRPr="006C62FB">
        <w:rPr>
          <w:szCs w:val="24"/>
        </w:rPr>
        <w:t xml:space="preserve">“cable-related in-kind contributions” </w:t>
      </w:r>
      <w:bookmarkEnd w:id="1"/>
      <w:r w:rsidR="00750D36" w:rsidRPr="006C62FB">
        <w:rPr>
          <w:szCs w:val="24"/>
        </w:rPr>
        <w:t>should be treated as “franchise fees” and subject to the statutory five percent cap on franchise fees set forth in the Cable Act</w:t>
      </w:r>
      <w:r w:rsidR="00C27F9F" w:rsidRPr="006C62FB">
        <w:rPr>
          <w:szCs w:val="24"/>
        </w:rPr>
        <w:t xml:space="preserve">. </w:t>
      </w:r>
      <w:r w:rsidR="00750D36" w:rsidRPr="006C62FB">
        <w:rPr>
          <w:szCs w:val="24"/>
        </w:rPr>
        <w:t xml:space="preserve"> </w:t>
      </w:r>
      <w:r w:rsidR="006C62FB">
        <w:rPr>
          <w:szCs w:val="24"/>
        </w:rPr>
        <w:t xml:space="preserve">It cannot be </w:t>
      </w:r>
      <w:r w:rsidR="006C62FB" w:rsidRPr="006C62FB">
        <w:rPr>
          <w:szCs w:val="24"/>
        </w:rPr>
        <w:t>reasonably concluded that that a law (the Cable Act) which allows</w:t>
      </w:r>
      <w:r w:rsidR="006C62FB">
        <w:rPr>
          <w:szCs w:val="24"/>
        </w:rPr>
        <w:t>, for instance,</w:t>
      </w:r>
      <w:r w:rsidR="006C62FB" w:rsidRPr="006C62FB">
        <w:rPr>
          <w:szCs w:val="24"/>
        </w:rPr>
        <w:t xml:space="preserve"> towns to require cable operators to set aside channels for PEG Access, would allow, as the Commission tentatively proposes, those same cable operators to select and place a value on the provision of those channels, and on the cost of getting access programming to those channels, and then back charge that cost from the </w:t>
      </w:r>
      <w:r w:rsidR="006C62FB">
        <w:rPr>
          <w:szCs w:val="24"/>
        </w:rPr>
        <w:t>franchise fee</w:t>
      </w:r>
      <w:r w:rsidR="006C62FB" w:rsidRPr="006C62FB">
        <w:rPr>
          <w:szCs w:val="24"/>
        </w:rPr>
        <w:t xml:space="preserve"> cable operators provide the city and town for their private/for profit use of the public way?  Such a conclusion is both unreasonable and not supported by the clear historical record.  </w:t>
      </w:r>
    </w:p>
    <w:p w14:paraId="51716CF1" w14:textId="57442E56" w:rsidR="006C62FB" w:rsidRDefault="006C62FB" w:rsidP="006C62FB">
      <w:pPr>
        <w:spacing w:after="0" w:line="240" w:lineRule="auto"/>
        <w:ind w:left="0" w:firstLine="720"/>
        <w:jc w:val="both"/>
        <w:rPr>
          <w:szCs w:val="24"/>
        </w:rPr>
      </w:pPr>
    </w:p>
    <w:p w14:paraId="754C8C68" w14:textId="0EA8921A" w:rsidR="00E645E9" w:rsidRPr="006C62FB" w:rsidRDefault="00E645E9" w:rsidP="00E645E9">
      <w:pPr>
        <w:spacing w:after="0" w:line="240" w:lineRule="auto"/>
        <w:ind w:left="0" w:firstLine="720"/>
        <w:jc w:val="both"/>
        <w:rPr>
          <w:szCs w:val="24"/>
        </w:rPr>
      </w:pPr>
      <w:r>
        <w:rPr>
          <w:szCs w:val="24"/>
        </w:rPr>
        <w:t>T</w:t>
      </w:r>
      <w:r w:rsidRPr="006C62FB">
        <w:rPr>
          <w:szCs w:val="24"/>
        </w:rPr>
        <w:t xml:space="preserve">he Commission has concluded inaccurately that “cable-related in-kind contributions” returned to the Town are for the benefit of the municipality when it is far more accurate to classify these as benefits or commitments to the community and public.   As such, cable-related in-kind contributions are in the same category as cable franchise build-out requirements assuring access to cable services is not denied based on income (also addressed in this proposed rulemaking), since they are not for the benefit of the town or it PEG access provider, but rather for the benefit of the public.  </w:t>
      </w:r>
    </w:p>
    <w:p w14:paraId="6DB2842A" w14:textId="748520D0" w:rsidR="00E645E9" w:rsidRDefault="00E645E9" w:rsidP="006C62FB">
      <w:pPr>
        <w:spacing w:after="0" w:line="240" w:lineRule="auto"/>
        <w:ind w:left="0" w:firstLine="720"/>
        <w:jc w:val="both"/>
        <w:rPr>
          <w:szCs w:val="24"/>
        </w:rPr>
      </w:pPr>
    </w:p>
    <w:p w14:paraId="5A3639B9" w14:textId="2A156017" w:rsidR="00E645E9" w:rsidRPr="006C62FB" w:rsidRDefault="00E645E9" w:rsidP="00772857">
      <w:pPr>
        <w:spacing w:after="0" w:line="240" w:lineRule="auto"/>
        <w:ind w:left="0" w:firstLine="720"/>
        <w:jc w:val="both"/>
        <w:rPr>
          <w:szCs w:val="24"/>
        </w:rPr>
      </w:pPr>
      <w:r>
        <w:rPr>
          <w:szCs w:val="24"/>
        </w:rPr>
        <w:t>T</w:t>
      </w:r>
      <w:r w:rsidRPr="006C62FB">
        <w:rPr>
          <w:szCs w:val="24"/>
        </w:rPr>
        <w:t xml:space="preserve">he reasonableness of the cable license terms of both the Comcast and Verizon licenses in </w:t>
      </w:r>
      <w:r>
        <w:rPr>
          <w:szCs w:val="24"/>
        </w:rPr>
        <w:t>Hingham</w:t>
      </w:r>
      <w:r w:rsidRPr="006C62FB">
        <w:rPr>
          <w:szCs w:val="24"/>
        </w:rPr>
        <w:t xml:space="preserve"> are reflective of cable licensing/franchising in general.  The terms of each of these licenses, including cable-related in-kind contributions, are the product of diligent, thoughtful, reasonable and fair cable license negotiations by both parties, which carefully consider “future cable-related needs and interests, taking in account the cost of meeting such needs and interests”.  </w:t>
      </w:r>
      <w:r w:rsidR="00772857">
        <w:rPr>
          <w:szCs w:val="24"/>
        </w:rPr>
        <w:t>T</w:t>
      </w:r>
      <w:r w:rsidRPr="006C62FB">
        <w:rPr>
          <w:szCs w:val="24"/>
        </w:rPr>
        <w:t>here is no basis in or from the Comcast or Verizon cable licenses</w:t>
      </w:r>
      <w:r w:rsidR="00772857">
        <w:rPr>
          <w:szCs w:val="24"/>
        </w:rPr>
        <w:t xml:space="preserve"> in Hingham,</w:t>
      </w:r>
      <w:r w:rsidRPr="006C62FB">
        <w:rPr>
          <w:szCs w:val="24"/>
        </w:rPr>
        <w:t xml:space="preserve"> for the Commission’s </w:t>
      </w:r>
      <w:r w:rsidR="00772857">
        <w:rPr>
          <w:szCs w:val="24"/>
        </w:rPr>
        <w:t xml:space="preserve">to conclude </w:t>
      </w:r>
      <w:r w:rsidRPr="006C62FB">
        <w:rPr>
          <w:szCs w:val="24"/>
        </w:rPr>
        <w:t>that “[</w:t>
      </w:r>
      <w:proofErr w:type="spellStart"/>
      <w:r w:rsidRPr="006C62FB">
        <w:rPr>
          <w:szCs w:val="24"/>
        </w:rPr>
        <w:t>i</w:t>
      </w:r>
      <w:proofErr w:type="spellEnd"/>
      <w:r w:rsidRPr="006C62FB">
        <w:rPr>
          <w:szCs w:val="24"/>
        </w:rPr>
        <w:t xml:space="preserve">]f cable-related in-kind contributions are not counted as franchise fees, LFAs could easily evade the five percent cap by requiring, for example, unlimited free or discounted cable services and facilities for LFAs, in addition to a five percent franchise </w:t>
      </w:r>
      <w:r w:rsidRPr="006C62FB">
        <w:rPr>
          <w:szCs w:val="24"/>
        </w:rPr>
        <w:lastRenderedPageBreak/>
        <w:t xml:space="preserve">fee.”  Rather, quite the opposite is true, the provision of PEG Access video return and cable service for public buildings, including schools, are not only financially reasonable, they are integral to the provision of the cable system and cable service, including the provision of PEG Access funding and PEG Access channels.  </w:t>
      </w:r>
      <w:r w:rsidR="00772857">
        <w:rPr>
          <w:szCs w:val="24"/>
        </w:rPr>
        <w:t xml:space="preserve">As the Commission is aware, the </w:t>
      </w:r>
      <w:r w:rsidRPr="006C62FB">
        <w:rPr>
          <w:szCs w:val="24"/>
        </w:rPr>
        <w:t xml:space="preserve">Cable Act requires that any such obligations, including cable-related in-kind contributions, be reasonable in light of the cost thereof. </w:t>
      </w:r>
    </w:p>
    <w:p w14:paraId="3248B896" w14:textId="77777777" w:rsidR="00E645E9" w:rsidRPr="006C62FB" w:rsidRDefault="00E645E9" w:rsidP="006C62FB">
      <w:pPr>
        <w:spacing w:after="0" w:line="240" w:lineRule="auto"/>
        <w:ind w:left="0" w:firstLine="720"/>
        <w:jc w:val="both"/>
        <w:rPr>
          <w:szCs w:val="24"/>
        </w:rPr>
      </w:pPr>
    </w:p>
    <w:p w14:paraId="3B949FE5" w14:textId="39633CB9" w:rsidR="00D92C6F" w:rsidRDefault="003834B0" w:rsidP="00FF69B9">
      <w:pPr>
        <w:spacing w:after="0" w:line="240" w:lineRule="auto"/>
        <w:ind w:left="0" w:firstLine="720"/>
        <w:jc w:val="both"/>
        <w:rPr>
          <w:szCs w:val="24"/>
        </w:rPr>
      </w:pPr>
      <w:r w:rsidRPr="006C62FB">
        <w:rPr>
          <w:szCs w:val="24"/>
        </w:rPr>
        <w:t xml:space="preserve">Over thirty </w:t>
      </w:r>
      <w:r w:rsidR="00800042" w:rsidRPr="006C62FB">
        <w:rPr>
          <w:szCs w:val="24"/>
        </w:rPr>
        <w:t xml:space="preserve">(30) </w:t>
      </w:r>
      <w:r w:rsidRPr="006C62FB">
        <w:rPr>
          <w:szCs w:val="24"/>
        </w:rPr>
        <w:t xml:space="preserve">years of cable licensing in the Town of </w:t>
      </w:r>
      <w:r w:rsidR="00772857">
        <w:rPr>
          <w:szCs w:val="24"/>
        </w:rPr>
        <w:t>Hingham</w:t>
      </w:r>
      <w:r w:rsidRPr="006C62FB">
        <w:rPr>
          <w:szCs w:val="24"/>
        </w:rPr>
        <w:t>, which for the last ten (10) years has included two (2) cable licenses/operators, illustrates the unique strength of the Cable Act</w:t>
      </w:r>
      <w:r w:rsidR="00800042" w:rsidRPr="006C62FB">
        <w:rPr>
          <w:szCs w:val="24"/>
        </w:rPr>
        <w:t xml:space="preserve">. </w:t>
      </w:r>
      <w:r w:rsidRPr="006C62FB">
        <w:rPr>
          <w:szCs w:val="24"/>
        </w:rPr>
        <w:t xml:space="preserve"> The Cable Act encourages and incentivizes both sides to carefully consider their needs and interests and to sit down together and workout a cable franchise agreement. That has consistently been the practice and experience in </w:t>
      </w:r>
      <w:r w:rsidR="00772857">
        <w:rPr>
          <w:szCs w:val="24"/>
        </w:rPr>
        <w:t>Hingham</w:t>
      </w:r>
      <w:r w:rsidRPr="006C62FB">
        <w:rPr>
          <w:szCs w:val="24"/>
        </w:rPr>
        <w:t xml:space="preserve">.  </w:t>
      </w:r>
    </w:p>
    <w:p w14:paraId="10962F2D" w14:textId="77777777" w:rsidR="00772857" w:rsidRPr="006C62FB" w:rsidRDefault="00772857" w:rsidP="00FF69B9">
      <w:pPr>
        <w:spacing w:after="0" w:line="240" w:lineRule="auto"/>
        <w:ind w:left="0" w:firstLine="720"/>
        <w:jc w:val="both"/>
        <w:rPr>
          <w:szCs w:val="24"/>
        </w:rPr>
      </w:pPr>
    </w:p>
    <w:p w14:paraId="2BFF1446" w14:textId="77777777" w:rsidR="00FB5489" w:rsidRDefault="00FB5489" w:rsidP="00FF69B9">
      <w:pPr>
        <w:spacing w:after="0" w:line="240" w:lineRule="auto"/>
        <w:ind w:left="0" w:firstLine="720"/>
        <w:jc w:val="both"/>
        <w:rPr>
          <w:szCs w:val="24"/>
        </w:rPr>
      </w:pPr>
      <w:r>
        <w:rPr>
          <w:szCs w:val="24"/>
        </w:rPr>
        <w:t xml:space="preserve">By defining “franchise fee” in an overly broad fashion to include “in-kind” support, the Commission’s proposal will shift the balance between cities/towns and cable operators, and will force communities to choose between PEG Channels and/or cable service to public buildings and franchise fees, a result which is not the intent of the Cable Act, and which is contrary to over thirty (30) years of practice by and between franchise authorities and cable operators. </w:t>
      </w:r>
    </w:p>
    <w:p w14:paraId="3047919B" w14:textId="77777777" w:rsidR="00FB5489" w:rsidRDefault="00FB5489" w:rsidP="00FF69B9">
      <w:pPr>
        <w:spacing w:after="0" w:line="240" w:lineRule="auto"/>
        <w:ind w:left="0" w:firstLine="720"/>
        <w:jc w:val="both"/>
        <w:rPr>
          <w:szCs w:val="24"/>
        </w:rPr>
      </w:pPr>
    </w:p>
    <w:p w14:paraId="1899C3D0" w14:textId="33D654E6" w:rsidR="00D432D8" w:rsidRDefault="00FB5489" w:rsidP="00FB5489">
      <w:pPr>
        <w:spacing w:after="0" w:line="240" w:lineRule="auto"/>
        <w:ind w:left="0" w:firstLine="720"/>
        <w:jc w:val="both"/>
        <w:rPr>
          <w:szCs w:val="24"/>
        </w:rPr>
      </w:pPr>
      <w:r>
        <w:rPr>
          <w:szCs w:val="24"/>
        </w:rPr>
        <w:t xml:space="preserve">The proposed rule will inevitably result in cable licensing/franchising disputes, costs and delays.   </w:t>
      </w:r>
    </w:p>
    <w:p w14:paraId="4083BDCB" w14:textId="77777777" w:rsidR="008529E7" w:rsidRPr="006C62FB" w:rsidRDefault="008529E7" w:rsidP="00FB5489">
      <w:pPr>
        <w:spacing w:after="0" w:line="240" w:lineRule="auto"/>
        <w:ind w:left="0" w:firstLine="720"/>
        <w:jc w:val="both"/>
        <w:rPr>
          <w:szCs w:val="24"/>
        </w:rPr>
      </w:pPr>
    </w:p>
    <w:p w14:paraId="5574382C" w14:textId="5E936F4B" w:rsidR="001C08AB" w:rsidRPr="006C62FB" w:rsidRDefault="00A45280" w:rsidP="00FF69B9">
      <w:pPr>
        <w:spacing w:line="240" w:lineRule="auto"/>
        <w:ind w:left="0" w:firstLine="720"/>
        <w:jc w:val="both"/>
        <w:rPr>
          <w:szCs w:val="24"/>
        </w:rPr>
      </w:pPr>
      <w:r w:rsidRPr="006C62FB">
        <w:rPr>
          <w:szCs w:val="24"/>
        </w:rPr>
        <w:t>Thank you for your consideration of these comments.</w:t>
      </w:r>
    </w:p>
    <w:p w14:paraId="1507080F" w14:textId="77777777" w:rsidR="00FB5489" w:rsidRDefault="00FB5489" w:rsidP="00FF69B9">
      <w:pPr>
        <w:spacing w:line="240" w:lineRule="auto"/>
        <w:ind w:left="0" w:firstLine="0"/>
        <w:jc w:val="both"/>
        <w:rPr>
          <w:szCs w:val="24"/>
        </w:rPr>
      </w:pPr>
    </w:p>
    <w:p w14:paraId="00544E91" w14:textId="55DD2667" w:rsidR="00A45280" w:rsidRPr="006C62FB" w:rsidRDefault="00FB5489" w:rsidP="00FF69B9">
      <w:pPr>
        <w:spacing w:line="240" w:lineRule="auto"/>
        <w:ind w:left="0" w:firstLine="0"/>
        <w:jc w:val="both"/>
        <w:rPr>
          <w:szCs w:val="24"/>
        </w:rPr>
      </w:pPr>
      <w:r>
        <w:rPr>
          <w:szCs w:val="24"/>
        </w:rPr>
        <w:t>R</w:t>
      </w:r>
      <w:r w:rsidR="00A45280" w:rsidRPr="006C62FB">
        <w:rPr>
          <w:szCs w:val="24"/>
        </w:rPr>
        <w:t>espectfully,</w:t>
      </w:r>
    </w:p>
    <w:p w14:paraId="7DD2848F" w14:textId="4FA0A8F0" w:rsidR="008529E7" w:rsidRDefault="008529E7" w:rsidP="00FF69B9">
      <w:pPr>
        <w:spacing w:line="240" w:lineRule="auto"/>
        <w:ind w:left="0" w:firstLine="0"/>
        <w:jc w:val="both"/>
        <w:rPr>
          <w:szCs w:val="24"/>
        </w:rPr>
      </w:pPr>
      <w:r w:rsidRPr="006C62FB">
        <w:rPr>
          <w:szCs w:val="24"/>
        </w:rPr>
        <w:t>Town of Hingham Cable TV Advisory Committee</w:t>
      </w:r>
    </w:p>
    <w:p w14:paraId="416A6929" w14:textId="77777777" w:rsidR="008529E7" w:rsidRDefault="008529E7" w:rsidP="00FF69B9">
      <w:pPr>
        <w:spacing w:line="240" w:lineRule="auto"/>
        <w:ind w:left="0" w:firstLine="0"/>
        <w:jc w:val="both"/>
        <w:rPr>
          <w:szCs w:val="24"/>
        </w:rPr>
      </w:pPr>
    </w:p>
    <w:p w14:paraId="0672CDDC" w14:textId="77777777" w:rsidR="008529E7" w:rsidRDefault="008529E7" w:rsidP="00FF69B9">
      <w:pPr>
        <w:spacing w:line="240" w:lineRule="auto"/>
        <w:ind w:left="0" w:firstLine="0"/>
        <w:jc w:val="both"/>
        <w:rPr>
          <w:szCs w:val="24"/>
        </w:rPr>
      </w:pPr>
    </w:p>
    <w:p w14:paraId="0707096E" w14:textId="77777777" w:rsidR="008529E7" w:rsidRDefault="008529E7" w:rsidP="00FF69B9">
      <w:pPr>
        <w:spacing w:line="240" w:lineRule="auto"/>
        <w:ind w:left="0" w:firstLine="0"/>
        <w:jc w:val="both"/>
        <w:rPr>
          <w:szCs w:val="24"/>
        </w:rPr>
      </w:pPr>
    </w:p>
    <w:p w14:paraId="077457F6" w14:textId="1073D68B" w:rsidR="00A45280" w:rsidRDefault="008529E7" w:rsidP="00FF69B9">
      <w:pPr>
        <w:spacing w:line="240" w:lineRule="auto"/>
        <w:ind w:left="0" w:firstLine="0"/>
        <w:jc w:val="both"/>
        <w:rPr>
          <w:szCs w:val="24"/>
        </w:rPr>
      </w:pPr>
      <w:r>
        <w:rPr>
          <w:szCs w:val="24"/>
        </w:rPr>
        <w:t xml:space="preserve">Dave Jones, </w:t>
      </w:r>
      <w:r w:rsidR="00A45280" w:rsidRPr="006C62FB">
        <w:rPr>
          <w:szCs w:val="24"/>
        </w:rPr>
        <w:t>Chairman</w:t>
      </w:r>
    </w:p>
    <w:p w14:paraId="46FA5269" w14:textId="5DD93AD0" w:rsidR="008529E7" w:rsidRDefault="008529E7" w:rsidP="00FF69B9">
      <w:pPr>
        <w:spacing w:line="240" w:lineRule="auto"/>
        <w:ind w:left="0" w:firstLine="0"/>
        <w:jc w:val="both"/>
        <w:rPr>
          <w:szCs w:val="24"/>
        </w:rPr>
      </w:pPr>
      <w:r>
        <w:rPr>
          <w:szCs w:val="24"/>
        </w:rPr>
        <w:t>cc:   Paul Healey, Chair, Board of Selectmen</w:t>
      </w:r>
    </w:p>
    <w:p w14:paraId="2D43A027" w14:textId="3AF1218B" w:rsidR="008529E7" w:rsidRPr="006C62FB" w:rsidRDefault="008529E7" w:rsidP="00FF69B9">
      <w:pPr>
        <w:spacing w:line="240" w:lineRule="auto"/>
        <w:ind w:left="0" w:firstLine="0"/>
        <w:jc w:val="both"/>
        <w:rPr>
          <w:szCs w:val="24"/>
        </w:rPr>
      </w:pPr>
      <w:r>
        <w:rPr>
          <w:szCs w:val="24"/>
        </w:rPr>
        <w:t xml:space="preserve">        Tom Mayo, Town Administrator</w:t>
      </w:r>
    </w:p>
    <w:p w14:paraId="75505200" w14:textId="77777777" w:rsidR="00A45280" w:rsidRPr="006C62FB" w:rsidRDefault="00A45280" w:rsidP="00FF69B9">
      <w:pPr>
        <w:spacing w:line="240" w:lineRule="auto"/>
        <w:ind w:left="0" w:firstLine="0"/>
        <w:jc w:val="both"/>
        <w:rPr>
          <w:szCs w:val="24"/>
        </w:rPr>
      </w:pPr>
    </w:p>
    <w:p w14:paraId="02C22B10" w14:textId="77777777" w:rsidR="00A45280" w:rsidRPr="006C62FB" w:rsidRDefault="00A45280" w:rsidP="00FF69B9">
      <w:pPr>
        <w:spacing w:line="240" w:lineRule="auto"/>
        <w:ind w:left="0" w:firstLine="720"/>
        <w:jc w:val="both"/>
        <w:rPr>
          <w:szCs w:val="24"/>
        </w:rPr>
      </w:pPr>
    </w:p>
    <w:sectPr w:rsidR="00A45280" w:rsidRPr="006C62FB">
      <w:footerReference w:type="even" r:id="rId11"/>
      <w:footerReference w:type="default" r:id="rId12"/>
      <w:footerReference w:type="first" r:id="rId13"/>
      <w:pgSz w:w="12240" w:h="15840"/>
      <w:pgMar w:top="1442" w:right="1446" w:bottom="1456" w:left="1440" w:header="720"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7753F" w14:textId="77777777" w:rsidR="00BB30C7" w:rsidRDefault="00BB30C7">
      <w:pPr>
        <w:spacing w:after="0" w:line="240" w:lineRule="auto"/>
      </w:pPr>
      <w:r>
        <w:separator/>
      </w:r>
    </w:p>
  </w:endnote>
  <w:endnote w:type="continuationSeparator" w:id="0">
    <w:p w14:paraId="66F9046A" w14:textId="77777777" w:rsidR="00BB30C7" w:rsidRDefault="00BB3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10022FF" w:usb1="C000E47F" w:usb2="00000029" w:usb3="00000000" w:csb0="000001D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9362D"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8917B" w14:textId="1BE2396D"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rsidR="00846F91">
      <w:rPr>
        <w:noProof/>
      </w:rP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69EB4"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EDB3D" w14:textId="77777777" w:rsidR="00BB30C7" w:rsidRDefault="00BB30C7">
      <w:pPr>
        <w:spacing w:after="0" w:line="259" w:lineRule="auto"/>
        <w:ind w:left="0" w:firstLine="0"/>
      </w:pPr>
      <w:r>
        <w:separator/>
      </w:r>
    </w:p>
  </w:footnote>
  <w:footnote w:type="continuationSeparator" w:id="0">
    <w:p w14:paraId="33664DFB" w14:textId="77777777" w:rsidR="00BB30C7" w:rsidRDefault="00BB30C7">
      <w:pPr>
        <w:spacing w:after="0" w:line="259" w:lineRule="auto"/>
        <w:ind w:left="0" w:firstLin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A86894"/>
    <w:multiLevelType w:val="hybridMultilevel"/>
    <w:tmpl w:val="B7B2D54A"/>
    <w:lvl w:ilvl="0" w:tplc="B3D0DE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129"/>
    <w:rsid w:val="00001A76"/>
    <w:rsid w:val="00005CB0"/>
    <w:rsid w:val="00007BBC"/>
    <w:rsid w:val="00021DF6"/>
    <w:rsid w:val="000259E1"/>
    <w:rsid w:val="00031DBC"/>
    <w:rsid w:val="00032406"/>
    <w:rsid w:val="0003755B"/>
    <w:rsid w:val="00040EE4"/>
    <w:rsid w:val="000410A3"/>
    <w:rsid w:val="000412FC"/>
    <w:rsid w:val="000458AE"/>
    <w:rsid w:val="00050B8F"/>
    <w:rsid w:val="0005743F"/>
    <w:rsid w:val="00070C67"/>
    <w:rsid w:val="000822FB"/>
    <w:rsid w:val="00084091"/>
    <w:rsid w:val="00085939"/>
    <w:rsid w:val="000A0A85"/>
    <w:rsid w:val="000A2915"/>
    <w:rsid w:val="000B28D9"/>
    <w:rsid w:val="000B3119"/>
    <w:rsid w:val="000B3CEA"/>
    <w:rsid w:val="000B5394"/>
    <w:rsid w:val="000C7C10"/>
    <w:rsid w:val="000D0E02"/>
    <w:rsid w:val="000D507B"/>
    <w:rsid w:val="000E19DA"/>
    <w:rsid w:val="000E1C17"/>
    <w:rsid w:val="000E2187"/>
    <w:rsid w:val="000F16B4"/>
    <w:rsid w:val="000F7D1D"/>
    <w:rsid w:val="000F7F98"/>
    <w:rsid w:val="0011270C"/>
    <w:rsid w:val="001247A3"/>
    <w:rsid w:val="00134E21"/>
    <w:rsid w:val="0014485F"/>
    <w:rsid w:val="00151883"/>
    <w:rsid w:val="001543B6"/>
    <w:rsid w:val="00160D10"/>
    <w:rsid w:val="0016690C"/>
    <w:rsid w:val="00170472"/>
    <w:rsid w:val="0017120C"/>
    <w:rsid w:val="00187136"/>
    <w:rsid w:val="00197A3E"/>
    <w:rsid w:val="00197ACB"/>
    <w:rsid w:val="001A23E9"/>
    <w:rsid w:val="001A36D5"/>
    <w:rsid w:val="001A3D77"/>
    <w:rsid w:val="001C082B"/>
    <w:rsid w:val="001C08AB"/>
    <w:rsid w:val="001C650C"/>
    <w:rsid w:val="001D00F2"/>
    <w:rsid w:val="001E5872"/>
    <w:rsid w:val="001E5E07"/>
    <w:rsid w:val="001E67FD"/>
    <w:rsid w:val="001F2401"/>
    <w:rsid w:val="001F25EC"/>
    <w:rsid w:val="002064E8"/>
    <w:rsid w:val="00212E8E"/>
    <w:rsid w:val="002151C7"/>
    <w:rsid w:val="00221459"/>
    <w:rsid w:val="0023002B"/>
    <w:rsid w:val="0025342B"/>
    <w:rsid w:val="002541A5"/>
    <w:rsid w:val="002556BC"/>
    <w:rsid w:val="00262AA1"/>
    <w:rsid w:val="00264F2F"/>
    <w:rsid w:val="0026635D"/>
    <w:rsid w:val="00271F97"/>
    <w:rsid w:val="00280540"/>
    <w:rsid w:val="002865F7"/>
    <w:rsid w:val="00287E0E"/>
    <w:rsid w:val="002A2FF3"/>
    <w:rsid w:val="002A56D4"/>
    <w:rsid w:val="002B2F3B"/>
    <w:rsid w:val="002C3A40"/>
    <w:rsid w:val="002D1B2A"/>
    <w:rsid w:val="002D211C"/>
    <w:rsid w:val="002D6289"/>
    <w:rsid w:val="002E14C5"/>
    <w:rsid w:val="002E2057"/>
    <w:rsid w:val="002F0CFE"/>
    <w:rsid w:val="002F5505"/>
    <w:rsid w:val="002F6A6A"/>
    <w:rsid w:val="00303183"/>
    <w:rsid w:val="00315633"/>
    <w:rsid w:val="00322BDB"/>
    <w:rsid w:val="003241FB"/>
    <w:rsid w:val="003246CF"/>
    <w:rsid w:val="003268F0"/>
    <w:rsid w:val="003331A3"/>
    <w:rsid w:val="0033719C"/>
    <w:rsid w:val="00337FA8"/>
    <w:rsid w:val="003430DD"/>
    <w:rsid w:val="00345AFE"/>
    <w:rsid w:val="0035186C"/>
    <w:rsid w:val="003573A0"/>
    <w:rsid w:val="00361413"/>
    <w:rsid w:val="003651E0"/>
    <w:rsid w:val="003702BE"/>
    <w:rsid w:val="00372BA0"/>
    <w:rsid w:val="00372DAB"/>
    <w:rsid w:val="0037426D"/>
    <w:rsid w:val="00381723"/>
    <w:rsid w:val="00381A5A"/>
    <w:rsid w:val="00381B1C"/>
    <w:rsid w:val="003834B0"/>
    <w:rsid w:val="003840D2"/>
    <w:rsid w:val="00386ACA"/>
    <w:rsid w:val="00391FED"/>
    <w:rsid w:val="003956FB"/>
    <w:rsid w:val="003A0815"/>
    <w:rsid w:val="003B33A1"/>
    <w:rsid w:val="003B4668"/>
    <w:rsid w:val="003B65E6"/>
    <w:rsid w:val="003D0A3D"/>
    <w:rsid w:val="003D5CE8"/>
    <w:rsid w:val="003E13FC"/>
    <w:rsid w:val="003E7A33"/>
    <w:rsid w:val="003F0639"/>
    <w:rsid w:val="003F62DE"/>
    <w:rsid w:val="00400345"/>
    <w:rsid w:val="00404B6B"/>
    <w:rsid w:val="004145D9"/>
    <w:rsid w:val="00414FD6"/>
    <w:rsid w:val="00424792"/>
    <w:rsid w:val="00440C31"/>
    <w:rsid w:val="00445F57"/>
    <w:rsid w:val="00456048"/>
    <w:rsid w:val="00457180"/>
    <w:rsid w:val="00463BCA"/>
    <w:rsid w:val="00466B66"/>
    <w:rsid w:val="00470401"/>
    <w:rsid w:val="00481D17"/>
    <w:rsid w:val="00485098"/>
    <w:rsid w:val="004A2640"/>
    <w:rsid w:val="004A6356"/>
    <w:rsid w:val="004B0A6C"/>
    <w:rsid w:val="004C0A9E"/>
    <w:rsid w:val="004C3F2E"/>
    <w:rsid w:val="004C77F0"/>
    <w:rsid w:val="004D14F8"/>
    <w:rsid w:val="004D3F61"/>
    <w:rsid w:val="004E0B54"/>
    <w:rsid w:val="004E466E"/>
    <w:rsid w:val="004E47A1"/>
    <w:rsid w:val="004E583A"/>
    <w:rsid w:val="004E7F91"/>
    <w:rsid w:val="00500D8E"/>
    <w:rsid w:val="00505755"/>
    <w:rsid w:val="0050731A"/>
    <w:rsid w:val="0050733F"/>
    <w:rsid w:val="00511A94"/>
    <w:rsid w:val="00521802"/>
    <w:rsid w:val="00527708"/>
    <w:rsid w:val="0053135A"/>
    <w:rsid w:val="00533AA1"/>
    <w:rsid w:val="00536C2F"/>
    <w:rsid w:val="00540ACD"/>
    <w:rsid w:val="005411A0"/>
    <w:rsid w:val="005441BD"/>
    <w:rsid w:val="00551F6C"/>
    <w:rsid w:val="005542A9"/>
    <w:rsid w:val="00554C24"/>
    <w:rsid w:val="005607B8"/>
    <w:rsid w:val="00563F1D"/>
    <w:rsid w:val="00566841"/>
    <w:rsid w:val="005709B3"/>
    <w:rsid w:val="00570C6B"/>
    <w:rsid w:val="00580DD9"/>
    <w:rsid w:val="00582DE3"/>
    <w:rsid w:val="00585E48"/>
    <w:rsid w:val="005A026C"/>
    <w:rsid w:val="005A028A"/>
    <w:rsid w:val="005B28DA"/>
    <w:rsid w:val="005C0794"/>
    <w:rsid w:val="005C087F"/>
    <w:rsid w:val="005C18C3"/>
    <w:rsid w:val="005C2B26"/>
    <w:rsid w:val="005C5423"/>
    <w:rsid w:val="005D2129"/>
    <w:rsid w:val="005D523F"/>
    <w:rsid w:val="005D577A"/>
    <w:rsid w:val="005E2B3E"/>
    <w:rsid w:val="005E7F1A"/>
    <w:rsid w:val="005F338E"/>
    <w:rsid w:val="005F40D3"/>
    <w:rsid w:val="005F469B"/>
    <w:rsid w:val="006120C3"/>
    <w:rsid w:val="00615C9E"/>
    <w:rsid w:val="006215E6"/>
    <w:rsid w:val="00622125"/>
    <w:rsid w:val="0062225F"/>
    <w:rsid w:val="00624EAF"/>
    <w:rsid w:val="00637E42"/>
    <w:rsid w:val="006459C0"/>
    <w:rsid w:val="0064772F"/>
    <w:rsid w:val="00652E41"/>
    <w:rsid w:val="0065511D"/>
    <w:rsid w:val="006636A3"/>
    <w:rsid w:val="00665B60"/>
    <w:rsid w:val="00667461"/>
    <w:rsid w:val="00670B94"/>
    <w:rsid w:val="006720A5"/>
    <w:rsid w:val="006757E0"/>
    <w:rsid w:val="00677ECE"/>
    <w:rsid w:val="006813A2"/>
    <w:rsid w:val="006878F0"/>
    <w:rsid w:val="006A1BC1"/>
    <w:rsid w:val="006A5533"/>
    <w:rsid w:val="006B0455"/>
    <w:rsid w:val="006B2757"/>
    <w:rsid w:val="006B40C4"/>
    <w:rsid w:val="006B4770"/>
    <w:rsid w:val="006C0A01"/>
    <w:rsid w:val="006C0EF3"/>
    <w:rsid w:val="006C2D21"/>
    <w:rsid w:val="006C62FB"/>
    <w:rsid w:val="006C7A8B"/>
    <w:rsid w:val="006D1D69"/>
    <w:rsid w:val="006D46F6"/>
    <w:rsid w:val="006D66B3"/>
    <w:rsid w:val="006E1D13"/>
    <w:rsid w:val="006E2A78"/>
    <w:rsid w:val="006E4745"/>
    <w:rsid w:val="006F27FA"/>
    <w:rsid w:val="007001CF"/>
    <w:rsid w:val="00701EB6"/>
    <w:rsid w:val="00703314"/>
    <w:rsid w:val="007043D7"/>
    <w:rsid w:val="007060BD"/>
    <w:rsid w:val="0071104E"/>
    <w:rsid w:val="00713A9F"/>
    <w:rsid w:val="00717644"/>
    <w:rsid w:val="00724321"/>
    <w:rsid w:val="0072578B"/>
    <w:rsid w:val="00744174"/>
    <w:rsid w:val="0074491A"/>
    <w:rsid w:val="00750D36"/>
    <w:rsid w:val="00750DAF"/>
    <w:rsid w:val="00760435"/>
    <w:rsid w:val="0076062C"/>
    <w:rsid w:val="00761C30"/>
    <w:rsid w:val="0076639F"/>
    <w:rsid w:val="00772857"/>
    <w:rsid w:val="007922F3"/>
    <w:rsid w:val="007B0F94"/>
    <w:rsid w:val="007B74DC"/>
    <w:rsid w:val="007E7C71"/>
    <w:rsid w:val="007F147F"/>
    <w:rsid w:val="007F2607"/>
    <w:rsid w:val="007F401D"/>
    <w:rsid w:val="00800042"/>
    <w:rsid w:val="00813B29"/>
    <w:rsid w:val="008214CA"/>
    <w:rsid w:val="008216D9"/>
    <w:rsid w:val="008249FD"/>
    <w:rsid w:val="0084641F"/>
    <w:rsid w:val="00846F91"/>
    <w:rsid w:val="00851C3C"/>
    <w:rsid w:val="008529E7"/>
    <w:rsid w:val="00854090"/>
    <w:rsid w:val="0085593B"/>
    <w:rsid w:val="008609F7"/>
    <w:rsid w:val="00862199"/>
    <w:rsid w:val="008628F7"/>
    <w:rsid w:val="00863E95"/>
    <w:rsid w:val="008846FC"/>
    <w:rsid w:val="00884934"/>
    <w:rsid w:val="00886926"/>
    <w:rsid w:val="00891924"/>
    <w:rsid w:val="00897318"/>
    <w:rsid w:val="008A392E"/>
    <w:rsid w:val="008B3058"/>
    <w:rsid w:val="008D0E73"/>
    <w:rsid w:val="008D3757"/>
    <w:rsid w:val="008D634A"/>
    <w:rsid w:val="008D7BF7"/>
    <w:rsid w:val="008E356C"/>
    <w:rsid w:val="008E38FF"/>
    <w:rsid w:val="008F3CC8"/>
    <w:rsid w:val="008F3E57"/>
    <w:rsid w:val="00904D70"/>
    <w:rsid w:val="0091692C"/>
    <w:rsid w:val="009172F2"/>
    <w:rsid w:val="00920DCD"/>
    <w:rsid w:val="00936DC6"/>
    <w:rsid w:val="00943551"/>
    <w:rsid w:val="0094522E"/>
    <w:rsid w:val="00954A8A"/>
    <w:rsid w:val="00955E32"/>
    <w:rsid w:val="009605A4"/>
    <w:rsid w:val="0097366F"/>
    <w:rsid w:val="00985F6A"/>
    <w:rsid w:val="009903EF"/>
    <w:rsid w:val="009A4274"/>
    <w:rsid w:val="009A65C7"/>
    <w:rsid w:val="009C3881"/>
    <w:rsid w:val="009F346F"/>
    <w:rsid w:val="009F6952"/>
    <w:rsid w:val="00A03C7F"/>
    <w:rsid w:val="00A07570"/>
    <w:rsid w:val="00A1203F"/>
    <w:rsid w:val="00A26039"/>
    <w:rsid w:val="00A31A1D"/>
    <w:rsid w:val="00A3520F"/>
    <w:rsid w:val="00A353F6"/>
    <w:rsid w:val="00A42F24"/>
    <w:rsid w:val="00A45280"/>
    <w:rsid w:val="00A460DD"/>
    <w:rsid w:val="00A465DF"/>
    <w:rsid w:val="00A6121A"/>
    <w:rsid w:val="00A61BAB"/>
    <w:rsid w:val="00A67265"/>
    <w:rsid w:val="00A709E7"/>
    <w:rsid w:val="00A739FD"/>
    <w:rsid w:val="00A81C59"/>
    <w:rsid w:val="00A93BA5"/>
    <w:rsid w:val="00A94F87"/>
    <w:rsid w:val="00A964DF"/>
    <w:rsid w:val="00AA709B"/>
    <w:rsid w:val="00AC0B21"/>
    <w:rsid w:val="00AC7E35"/>
    <w:rsid w:val="00AD62D1"/>
    <w:rsid w:val="00AD6DDA"/>
    <w:rsid w:val="00AE0734"/>
    <w:rsid w:val="00AE1BD3"/>
    <w:rsid w:val="00AE29A5"/>
    <w:rsid w:val="00AE5F6C"/>
    <w:rsid w:val="00AF562E"/>
    <w:rsid w:val="00B01974"/>
    <w:rsid w:val="00B06F65"/>
    <w:rsid w:val="00B130E8"/>
    <w:rsid w:val="00B13237"/>
    <w:rsid w:val="00B13318"/>
    <w:rsid w:val="00B146BF"/>
    <w:rsid w:val="00B14F7E"/>
    <w:rsid w:val="00B16DC5"/>
    <w:rsid w:val="00B24E74"/>
    <w:rsid w:val="00B4128F"/>
    <w:rsid w:val="00B503E4"/>
    <w:rsid w:val="00B563FE"/>
    <w:rsid w:val="00B72717"/>
    <w:rsid w:val="00B768D4"/>
    <w:rsid w:val="00B81E1C"/>
    <w:rsid w:val="00B82D4D"/>
    <w:rsid w:val="00B91041"/>
    <w:rsid w:val="00B97716"/>
    <w:rsid w:val="00BA3278"/>
    <w:rsid w:val="00BA64F4"/>
    <w:rsid w:val="00BB0890"/>
    <w:rsid w:val="00BB30C7"/>
    <w:rsid w:val="00BC395E"/>
    <w:rsid w:val="00BC4475"/>
    <w:rsid w:val="00BE12E3"/>
    <w:rsid w:val="00BE256F"/>
    <w:rsid w:val="00BE7944"/>
    <w:rsid w:val="00BF18B1"/>
    <w:rsid w:val="00BF538F"/>
    <w:rsid w:val="00C04A48"/>
    <w:rsid w:val="00C070A4"/>
    <w:rsid w:val="00C07C53"/>
    <w:rsid w:val="00C12280"/>
    <w:rsid w:val="00C14658"/>
    <w:rsid w:val="00C1495F"/>
    <w:rsid w:val="00C15AFD"/>
    <w:rsid w:val="00C21346"/>
    <w:rsid w:val="00C27F9F"/>
    <w:rsid w:val="00C43476"/>
    <w:rsid w:val="00C43517"/>
    <w:rsid w:val="00C473B1"/>
    <w:rsid w:val="00C51DD6"/>
    <w:rsid w:val="00C54933"/>
    <w:rsid w:val="00C605D5"/>
    <w:rsid w:val="00C64135"/>
    <w:rsid w:val="00C6506E"/>
    <w:rsid w:val="00C67C60"/>
    <w:rsid w:val="00C70293"/>
    <w:rsid w:val="00C70F8D"/>
    <w:rsid w:val="00C71A68"/>
    <w:rsid w:val="00C774D9"/>
    <w:rsid w:val="00C810BD"/>
    <w:rsid w:val="00C8338B"/>
    <w:rsid w:val="00C83BAA"/>
    <w:rsid w:val="00C95F96"/>
    <w:rsid w:val="00CA145E"/>
    <w:rsid w:val="00CA1F21"/>
    <w:rsid w:val="00CA22BB"/>
    <w:rsid w:val="00CA3848"/>
    <w:rsid w:val="00CC6F80"/>
    <w:rsid w:val="00CD2F16"/>
    <w:rsid w:val="00CE6AFC"/>
    <w:rsid w:val="00CF1178"/>
    <w:rsid w:val="00CF34AF"/>
    <w:rsid w:val="00CF3B6C"/>
    <w:rsid w:val="00CF40D1"/>
    <w:rsid w:val="00CF5578"/>
    <w:rsid w:val="00D04032"/>
    <w:rsid w:val="00D044EF"/>
    <w:rsid w:val="00D05AD9"/>
    <w:rsid w:val="00D07532"/>
    <w:rsid w:val="00D14454"/>
    <w:rsid w:val="00D158E7"/>
    <w:rsid w:val="00D230B5"/>
    <w:rsid w:val="00D250E0"/>
    <w:rsid w:val="00D2736C"/>
    <w:rsid w:val="00D36340"/>
    <w:rsid w:val="00D432D8"/>
    <w:rsid w:val="00D43B89"/>
    <w:rsid w:val="00D47560"/>
    <w:rsid w:val="00D546DE"/>
    <w:rsid w:val="00D73C15"/>
    <w:rsid w:val="00D906A5"/>
    <w:rsid w:val="00D9159B"/>
    <w:rsid w:val="00D92C6F"/>
    <w:rsid w:val="00D93150"/>
    <w:rsid w:val="00D933C5"/>
    <w:rsid w:val="00D94354"/>
    <w:rsid w:val="00D94992"/>
    <w:rsid w:val="00D96765"/>
    <w:rsid w:val="00DA3CB6"/>
    <w:rsid w:val="00DD53C5"/>
    <w:rsid w:val="00DE26DA"/>
    <w:rsid w:val="00DE648E"/>
    <w:rsid w:val="00DE6AD5"/>
    <w:rsid w:val="00DE6D71"/>
    <w:rsid w:val="00DE78F9"/>
    <w:rsid w:val="00DF2FFE"/>
    <w:rsid w:val="00E12940"/>
    <w:rsid w:val="00E133DE"/>
    <w:rsid w:val="00E164A7"/>
    <w:rsid w:val="00E17B3C"/>
    <w:rsid w:val="00E21D47"/>
    <w:rsid w:val="00E251B2"/>
    <w:rsid w:val="00E254E7"/>
    <w:rsid w:val="00E41D59"/>
    <w:rsid w:val="00E47FC8"/>
    <w:rsid w:val="00E645E9"/>
    <w:rsid w:val="00E711A8"/>
    <w:rsid w:val="00E71536"/>
    <w:rsid w:val="00E72B3D"/>
    <w:rsid w:val="00E8785E"/>
    <w:rsid w:val="00E90CFF"/>
    <w:rsid w:val="00E952E9"/>
    <w:rsid w:val="00E9608D"/>
    <w:rsid w:val="00EA4A61"/>
    <w:rsid w:val="00EA5EBF"/>
    <w:rsid w:val="00EC1D3A"/>
    <w:rsid w:val="00ED00E8"/>
    <w:rsid w:val="00ED1553"/>
    <w:rsid w:val="00EE1E44"/>
    <w:rsid w:val="00EF188A"/>
    <w:rsid w:val="00EF6871"/>
    <w:rsid w:val="00EF7CCA"/>
    <w:rsid w:val="00F037B9"/>
    <w:rsid w:val="00F04FFE"/>
    <w:rsid w:val="00F07D04"/>
    <w:rsid w:val="00F117F5"/>
    <w:rsid w:val="00F16EEF"/>
    <w:rsid w:val="00F27270"/>
    <w:rsid w:val="00F32802"/>
    <w:rsid w:val="00F32829"/>
    <w:rsid w:val="00F33A1F"/>
    <w:rsid w:val="00F4583A"/>
    <w:rsid w:val="00F515D9"/>
    <w:rsid w:val="00F573AE"/>
    <w:rsid w:val="00F6330C"/>
    <w:rsid w:val="00F65128"/>
    <w:rsid w:val="00F65ECD"/>
    <w:rsid w:val="00F661DD"/>
    <w:rsid w:val="00F66330"/>
    <w:rsid w:val="00F72C15"/>
    <w:rsid w:val="00F817A4"/>
    <w:rsid w:val="00FA619C"/>
    <w:rsid w:val="00FA61B8"/>
    <w:rsid w:val="00FB03B0"/>
    <w:rsid w:val="00FB5489"/>
    <w:rsid w:val="00FC20C9"/>
    <w:rsid w:val="00FD099A"/>
    <w:rsid w:val="00FF69B9"/>
    <w:rsid w:val="00FF7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886F4"/>
  <w15:docId w15:val="{0F3FE1B8-0FEC-44C1-BBF2-1F91F7A6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7" w:line="249" w:lineRule="auto"/>
      <w:ind w:left="10" w:hanging="10"/>
    </w:pPr>
    <w:rPr>
      <w:rFonts w:ascii="Times New Roman" w:eastAsia="Times New Roman" w:hAnsi="Times New Roman" w:cs="Times New Roman"/>
      <w:color w:val="231F20"/>
      <w:sz w:val="24"/>
    </w:rPr>
  </w:style>
  <w:style w:type="paragraph" w:styleId="Heading1">
    <w:name w:val="heading 1"/>
    <w:next w:val="Normal"/>
    <w:link w:val="Heading1Char"/>
    <w:uiPriority w:val="9"/>
    <w:unhideWhenUsed/>
    <w:qFormat/>
    <w:pPr>
      <w:keepNext/>
      <w:keepLines/>
      <w:spacing w:after="4" w:line="252" w:lineRule="auto"/>
      <w:ind w:left="16" w:hanging="10"/>
      <w:outlineLvl w:val="0"/>
    </w:pPr>
    <w:rPr>
      <w:rFonts w:ascii="Times New Roman" w:eastAsia="Times New Roman" w:hAnsi="Times New Roman" w:cs="Times New Roman"/>
      <w:b/>
      <w:color w:val="231F2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231F20"/>
      <w:sz w:val="24"/>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231F20"/>
      <w:sz w:val="24"/>
    </w:rPr>
  </w:style>
  <w:style w:type="character" w:customStyle="1" w:styleId="footnotedescriptionChar">
    <w:name w:val="footnote description Char"/>
    <w:link w:val="footnotedescription"/>
    <w:rPr>
      <w:rFonts w:ascii="Times New Roman" w:eastAsia="Times New Roman" w:hAnsi="Times New Roman" w:cs="Times New Roman"/>
      <w:color w:val="231F20"/>
      <w:sz w:val="24"/>
    </w:rPr>
  </w:style>
  <w:style w:type="character" w:customStyle="1" w:styleId="footnotemark">
    <w:name w:val="footnote mark"/>
    <w:hidden/>
    <w:rPr>
      <w:rFonts w:ascii="Times New Roman" w:eastAsia="Times New Roman" w:hAnsi="Times New Roman" w:cs="Times New Roman"/>
      <w:color w:val="231F20"/>
      <w:sz w:val="21"/>
      <w:vertAlign w:val="superscript"/>
    </w:rPr>
  </w:style>
  <w:style w:type="paragraph" w:styleId="FootnoteText">
    <w:name w:val="footnote text"/>
    <w:basedOn w:val="Normal"/>
    <w:link w:val="FootnoteTextChar"/>
    <w:uiPriority w:val="99"/>
    <w:unhideWhenUsed/>
    <w:rsid w:val="007B74DC"/>
    <w:pPr>
      <w:spacing w:after="0" w:line="240" w:lineRule="auto"/>
    </w:pPr>
    <w:rPr>
      <w:sz w:val="20"/>
      <w:szCs w:val="20"/>
    </w:rPr>
  </w:style>
  <w:style w:type="character" w:customStyle="1" w:styleId="FootnoteTextChar">
    <w:name w:val="Footnote Text Char"/>
    <w:basedOn w:val="DefaultParagraphFont"/>
    <w:link w:val="FootnoteText"/>
    <w:uiPriority w:val="99"/>
    <w:rsid w:val="007B74DC"/>
    <w:rPr>
      <w:rFonts w:ascii="Times New Roman" w:eastAsia="Times New Roman" w:hAnsi="Times New Roman" w:cs="Times New Roman"/>
      <w:color w:val="231F20"/>
      <w:sz w:val="20"/>
      <w:szCs w:val="20"/>
    </w:rPr>
  </w:style>
  <w:style w:type="character" w:styleId="FootnoteReference">
    <w:name w:val="footnote reference"/>
    <w:basedOn w:val="DefaultParagraphFont"/>
    <w:uiPriority w:val="99"/>
    <w:semiHidden/>
    <w:unhideWhenUsed/>
    <w:rsid w:val="007B74DC"/>
    <w:rPr>
      <w:vertAlign w:val="superscript"/>
    </w:rPr>
  </w:style>
  <w:style w:type="paragraph" w:customStyle="1" w:styleId="Default">
    <w:name w:val="Default"/>
    <w:rsid w:val="00570C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6D5"/>
    <w:pPr>
      <w:ind w:left="720"/>
      <w:contextualSpacing/>
    </w:pPr>
  </w:style>
  <w:style w:type="paragraph" w:styleId="BalloonText">
    <w:name w:val="Balloon Text"/>
    <w:basedOn w:val="Normal"/>
    <w:link w:val="BalloonTextChar"/>
    <w:uiPriority w:val="99"/>
    <w:semiHidden/>
    <w:unhideWhenUsed/>
    <w:rsid w:val="009F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46F"/>
    <w:rPr>
      <w:rFonts w:ascii="Segoe UI" w:eastAsia="Times New Roman" w:hAnsi="Segoe UI" w:cs="Segoe UI"/>
      <w:color w:val="231F20"/>
      <w:sz w:val="18"/>
      <w:szCs w:val="18"/>
    </w:rPr>
  </w:style>
  <w:style w:type="character" w:styleId="PlaceholderText">
    <w:name w:val="Placeholder Text"/>
    <w:basedOn w:val="DefaultParagraphFont"/>
    <w:uiPriority w:val="99"/>
    <w:semiHidden/>
    <w:rsid w:val="00E254E7"/>
    <w:rPr>
      <w:color w:val="808080"/>
    </w:rPr>
  </w:style>
  <w:style w:type="character" w:styleId="Hyperlink">
    <w:name w:val="Hyperlink"/>
    <w:basedOn w:val="DefaultParagraphFont"/>
    <w:uiPriority w:val="99"/>
    <w:unhideWhenUsed/>
    <w:rsid w:val="006720A5"/>
    <w:rPr>
      <w:color w:val="0000FF"/>
      <w:u w:val="single"/>
    </w:rPr>
  </w:style>
  <w:style w:type="character" w:styleId="UnresolvedMention">
    <w:name w:val="Unresolved Mention"/>
    <w:basedOn w:val="DefaultParagraphFont"/>
    <w:uiPriority w:val="99"/>
    <w:semiHidden/>
    <w:unhideWhenUsed/>
    <w:rsid w:val="00F72C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749320">
      <w:bodyDiv w:val="1"/>
      <w:marLeft w:val="0"/>
      <w:marRight w:val="0"/>
      <w:marTop w:val="0"/>
      <w:marBottom w:val="0"/>
      <w:divBdr>
        <w:top w:val="none" w:sz="0" w:space="0" w:color="auto"/>
        <w:left w:val="none" w:sz="0" w:space="0" w:color="auto"/>
        <w:bottom w:val="none" w:sz="0" w:space="0" w:color="auto"/>
        <w:right w:val="none" w:sz="0" w:space="0" w:color="auto"/>
      </w:divBdr>
    </w:div>
    <w:div w:id="1450007321">
      <w:bodyDiv w:val="1"/>
      <w:marLeft w:val="0"/>
      <w:marRight w:val="0"/>
      <w:marTop w:val="0"/>
      <w:marBottom w:val="0"/>
      <w:divBdr>
        <w:top w:val="none" w:sz="0" w:space="0" w:color="auto"/>
        <w:left w:val="none" w:sz="0" w:space="0" w:color="auto"/>
        <w:bottom w:val="none" w:sz="0" w:space="0" w:color="auto"/>
        <w:right w:val="none" w:sz="0" w:space="0" w:color="auto"/>
      </w:divBdr>
    </w:div>
    <w:div w:id="1832476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4EB7B4FDF8F84EB6B6FB5CB37FF8F4" ma:contentTypeVersion="8" ma:contentTypeDescription="Create a new document." ma:contentTypeScope="" ma:versionID="f99f768563311108080303ccc7a112b9">
  <xsd:schema xmlns:xsd="http://www.w3.org/2001/XMLSchema" xmlns:xs="http://www.w3.org/2001/XMLSchema" xmlns:p="http://schemas.microsoft.com/office/2006/metadata/properties" xmlns:ns2="4db3d591-4a7d-465d-9fac-69dc62f1cdbb" xmlns:ns3="f9cb4538-9750-442f-a880-3d3c3126c362" targetNamespace="http://schemas.microsoft.com/office/2006/metadata/properties" ma:root="true" ma:fieldsID="dce7339885f038375b10e7386560ef3b" ns2:_="" ns3:_="">
    <xsd:import namespace="4db3d591-4a7d-465d-9fac-69dc62f1cdbb"/>
    <xsd:import namespace="f9cb4538-9750-442f-a880-3d3c3126c3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d591-4a7d-465d-9fac-69dc62f1cdb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cb4538-9750-442f-a880-3d3c3126c36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66FB1-7BFB-41CC-9EF7-879E66B383FE}">
  <ds:schemaRefs>
    <ds:schemaRef ds:uri="http://schemas.microsoft.com/sharepoint/v3/contenttype/forms"/>
  </ds:schemaRefs>
</ds:datastoreItem>
</file>

<file path=customXml/itemProps2.xml><?xml version="1.0" encoding="utf-8"?>
<ds:datastoreItem xmlns:ds="http://schemas.openxmlformats.org/officeDocument/2006/customXml" ds:itemID="{95F14426-BEB3-4BE5-A33C-15DF04C300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146B2E-0EAE-453D-8BAB-185645C8C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d591-4a7d-465d-9fac-69dc62f1cdbb"/>
    <ds:schemaRef ds:uri="f9cb4538-9750-442f-a880-3d3c3126c3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20EA88-4F27-4739-A27D-93C0054A7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Pages>
  <Words>1095</Words>
  <Characters>6246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7522902824.pdf</vt:lpstr>
    </vt:vector>
  </TitlesOfParts>
  <Company/>
  <LinksUpToDate>false</LinksUpToDate>
  <CharactersWithSpaces>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7522902824.pdf</dc:title>
  <dc:subject/>
  <dc:creator>PerezT</dc:creator>
  <cp:keywords/>
  <cp:lastModifiedBy>margieandbill</cp:lastModifiedBy>
  <cp:revision>9</cp:revision>
  <cp:lastPrinted>2018-11-14T15:29:00Z</cp:lastPrinted>
  <dcterms:created xsi:type="dcterms:W3CDTF">2018-11-15T00:14:00Z</dcterms:created>
  <dcterms:modified xsi:type="dcterms:W3CDTF">2018-11-15T04:44:00Z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0x010100794EB7B4FDF8F84EB6B6FB5CB37FF8F4</vt:lpwstr>
  </property>
</Properties>
</file>