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1917" w:rsidRPr="00E13D89" w:rsidRDefault="00E13D89">
      <w:pPr>
        <w:rPr>
          <w:sz w:val="24"/>
          <w:szCs w:val="24"/>
        </w:rPr>
      </w:pPr>
      <w:r w:rsidRPr="00E13D89">
        <w:rPr>
          <w:sz w:val="24"/>
          <w:szCs w:val="24"/>
        </w:rPr>
        <w:t xml:space="preserve">November </w:t>
      </w:r>
      <w:r w:rsidR="00D90FB2">
        <w:rPr>
          <w:sz w:val="24"/>
          <w:szCs w:val="24"/>
        </w:rPr>
        <w:t>17</w:t>
      </w:r>
      <w:bookmarkStart w:id="0" w:name="_GoBack"/>
      <w:bookmarkEnd w:id="0"/>
      <w:r w:rsidRPr="00E13D89">
        <w:rPr>
          <w:sz w:val="24"/>
          <w:szCs w:val="24"/>
        </w:rPr>
        <w:t>, 2017</w:t>
      </w:r>
    </w:p>
    <w:p w:rsidR="00E13D89" w:rsidRDefault="00E13D89" w:rsidP="00E13D89">
      <w:pPr>
        <w:spacing w:after="0"/>
        <w:rPr>
          <w:b/>
          <w:sz w:val="24"/>
          <w:szCs w:val="24"/>
          <w:u w:val="single"/>
        </w:rPr>
      </w:pPr>
    </w:p>
    <w:p w:rsidR="00E13D89" w:rsidRPr="00E13D89" w:rsidRDefault="00E13D89" w:rsidP="00E13D89">
      <w:pPr>
        <w:spacing w:after="0"/>
        <w:rPr>
          <w:b/>
          <w:sz w:val="24"/>
          <w:szCs w:val="24"/>
          <w:u w:val="single"/>
        </w:rPr>
      </w:pPr>
      <w:r w:rsidRPr="00E13D89">
        <w:rPr>
          <w:b/>
          <w:sz w:val="24"/>
          <w:szCs w:val="24"/>
          <w:u w:val="single"/>
        </w:rPr>
        <w:t>VIA ELECTRONIC SUBMISSION</w:t>
      </w:r>
    </w:p>
    <w:p w:rsidR="00E13D89" w:rsidRDefault="00E13D89" w:rsidP="00E13D89">
      <w:pPr>
        <w:spacing w:after="0"/>
        <w:rPr>
          <w:sz w:val="24"/>
          <w:szCs w:val="24"/>
        </w:rPr>
      </w:pPr>
    </w:p>
    <w:p w:rsidR="00E13D89" w:rsidRPr="00E13D89" w:rsidRDefault="00E13D89" w:rsidP="00E13D89">
      <w:pPr>
        <w:spacing w:after="0"/>
        <w:rPr>
          <w:sz w:val="24"/>
          <w:szCs w:val="24"/>
        </w:rPr>
      </w:pPr>
      <w:r w:rsidRPr="00E13D89">
        <w:rPr>
          <w:sz w:val="24"/>
          <w:szCs w:val="24"/>
        </w:rPr>
        <w:t>Marlene H. Dortch, Secretary</w:t>
      </w:r>
    </w:p>
    <w:p w:rsidR="00E13D89" w:rsidRPr="00E13D89" w:rsidRDefault="00E13D89" w:rsidP="00E13D89">
      <w:pPr>
        <w:spacing w:after="0"/>
        <w:rPr>
          <w:sz w:val="24"/>
          <w:szCs w:val="24"/>
        </w:rPr>
      </w:pPr>
      <w:r w:rsidRPr="00E13D89">
        <w:rPr>
          <w:sz w:val="24"/>
          <w:szCs w:val="24"/>
        </w:rPr>
        <w:t>Federal Communications Commission</w:t>
      </w:r>
    </w:p>
    <w:p w:rsidR="00E13D89" w:rsidRPr="00E13D89" w:rsidRDefault="00E13D89" w:rsidP="00E13D89">
      <w:pPr>
        <w:spacing w:after="0"/>
        <w:rPr>
          <w:sz w:val="24"/>
          <w:szCs w:val="24"/>
        </w:rPr>
      </w:pPr>
      <w:r w:rsidRPr="00E13D89">
        <w:rPr>
          <w:sz w:val="24"/>
          <w:szCs w:val="24"/>
        </w:rPr>
        <w:t>445 Twelfth Street SW</w:t>
      </w:r>
    </w:p>
    <w:p w:rsidR="00E13D89" w:rsidRPr="00E13D89" w:rsidRDefault="00E13D89" w:rsidP="00E13D89">
      <w:pPr>
        <w:spacing w:after="0"/>
        <w:rPr>
          <w:sz w:val="24"/>
          <w:szCs w:val="24"/>
        </w:rPr>
      </w:pPr>
      <w:r w:rsidRPr="00E13D89">
        <w:rPr>
          <w:sz w:val="24"/>
          <w:szCs w:val="24"/>
        </w:rPr>
        <w:t>Washington, DC 20554</w:t>
      </w:r>
    </w:p>
    <w:p w:rsidR="00E13D89" w:rsidRPr="00E13D89" w:rsidRDefault="00E13D89" w:rsidP="00E13D89">
      <w:pPr>
        <w:rPr>
          <w:sz w:val="24"/>
          <w:szCs w:val="24"/>
        </w:rPr>
      </w:pPr>
    </w:p>
    <w:p w:rsidR="00E13D89" w:rsidRPr="00E13D89" w:rsidRDefault="00E13D89" w:rsidP="00E13D89">
      <w:pPr>
        <w:rPr>
          <w:b/>
          <w:sz w:val="24"/>
          <w:szCs w:val="24"/>
        </w:rPr>
      </w:pPr>
      <w:r w:rsidRPr="00E13D89">
        <w:rPr>
          <w:b/>
          <w:sz w:val="24"/>
          <w:szCs w:val="24"/>
        </w:rPr>
        <w:t xml:space="preserve">RE: </w:t>
      </w:r>
      <w:r w:rsidR="000A7433">
        <w:rPr>
          <w:b/>
          <w:sz w:val="24"/>
          <w:szCs w:val="24"/>
        </w:rPr>
        <w:t xml:space="preserve">Notice of Written </w:t>
      </w:r>
      <w:r w:rsidR="000A7433" w:rsidRPr="000A7433">
        <w:rPr>
          <w:b/>
          <w:i/>
          <w:sz w:val="24"/>
          <w:szCs w:val="24"/>
        </w:rPr>
        <w:t xml:space="preserve">Ex </w:t>
      </w:r>
      <w:proofErr w:type="spellStart"/>
      <w:r w:rsidR="000A7433" w:rsidRPr="000A7433">
        <w:rPr>
          <w:b/>
          <w:i/>
          <w:sz w:val="24"/>
          <w:szCs w:val="24"/>
        </w:rPr>
        <w:t>Parte</w:t>
      </w:r>
      <w:proofErr w:type="spellEnd"/>
      <w:r w:rsidR="000A7433">
        <w:rPr>
          <w:b/>
          <w:sz w:val="24"/>
          <w:szCs w:val="24"/>
        </w:rPr>
        <w:t xml:space="preserve"> presentation in Restoring Internet Freedom, </w:t>
      </w:r>
      <w:r w:rsidRPr="00E13D89">
        <w:rPr>
          <w:b/>
          <w:sz w:val="24"/>
          <w:szCs w:val="24"/>
        </w:rPr>
        <w:t>WC Docket No. 17-108</w:t>
      </w:r>
    </w:p>
    <w:p w:rsidR="00E13D89" w:rsidRPr="00E13D89" w:rsidRDefault="00E13D89" w:rsidP="00E13D89">
      <w:pPr>
        <w:rPr>
          <w:sz w:val="24"/>
          <w:szCs w:val="24"/>
        </w:rPr>
      </w:pPr>
    </w:p>
    <w:p w:rsidR="00E13D89" w:rsidRPr="00E13D89" w:rsidRDefault="00E13D89" w:rsidP="00E13D89">
      <w:pPr>
        <w:rPr>
          <w:sz w:val="24"/>
          <w:szCs w:val="24"/>
        </w:rPr>
      </w:pPr>
      <w:r w:rsidRPr="00E13D89">
        <w:rPr>
          <w:sz w:val="24"/>
          <w:szCs w:val="24"/>
        </w:rPr>
        <w:t>Dear Ms. Dortch:</w:t>
      </w:r>
    </w:p>
    <w:p w:rsidR="00E13D89" w:rsidRDefault="00E13D89">
      <w:pPr>
        <w:rPr>
          <w:sz w:val="24"/>
          <w:szCs w:val="24"/>
        </w:rPr>
      </w:pPr>
    </w:p>
    <w:p w:rsidR="00330EC3" w:rsidRDefault="00B47188">
      <w:pPr>
        <w:rPr>
          <w:sz w:val="24"/>
          <w:szCs w:val="24"/>
        </w:rPr>
      </w:pPr>
      <w:r>
        <w:rPr>
          <w:sz w:val="24"/>
          <w:szCs w:val="24"/>
        </w:rPr>
        <w:t xml:space="preserve">In a review of Securities and Exchange Commission </w:t>
      </w:r>
      <w:r w:rsidR="00362B88">
        <w:rPr>
          <w:sz w:val="24"/>
          <w:szCs w:val="24"/>
        </w:rPr>
        <w:t xml:space="preserve">(SEC) </w:t>
      </w:r>
      <w:r>
        <w:rPr>
          <w:sz w:val="24"/>
          <w:szCs w:val="24"/>
        </w:rPr>
        <w:t xml:space="preserve">filings, at least 26 </w:t>
      </w:r>
      <w:r w:rsidR="00A51D89">
        <w:rPr>
          <w:sz w:val="24"/>
          <w:szCs w:val="24"/>
        </w:rPr>
        <w:t>publicly-traded companies</w:t>
      </w:r>
      <w:r w:rsidR="00E57096">
        <w:rPr>
          <w:sz w:val="24"/>
          <w:szCs w:val="24"/>
        </w:rPr>
        <w:t xml:space="preserve"> that depend</w:t>
      </w:r>
      <w:r w:rsidR="00E57096" w:rsidRPr="00E57096">
        <w:rPr>
          <w:sz w:val="24"/>
          <w:szCs w:val="24"/>
        </w:rPr>
        <w:t xml:space="preserve"> on </w:t>
      </w:r>
      <w:r w:rsidR="00E57096">
        <w:rPr>
          <w:sz w:val="24"/>
          <w:szCs w:val="24"/>
        </w:rPr>
        <w:t>their</w:t>
      </w:r>
      <w:r w:rsidR="00E57096" w:rsidRPr="00E57096">
        <w:rPr>
          <w:sz w:val="24"/>
          <w:szCs w:val="24"/>
        </w:rPr>
        <w:t xml:space="preserve"> customers' continued and unimpeded access to the Internet</w:t>
      </w:r>
      <w:r>
        <w:rPr>
          <w:sz w:val="24"/>
          <w:szCs w:val="24"/>
        </w:rPr>
        <w:t xml:space="preserve"> identify potential harms if the Commission eliminates or narrows the 2015 Open Internet rules as contemplated in the above proceeding</w:t>
      </w:r>
      <w:r w:rsidR="00E57096">
        <w:rPr>
          <w:sz w:val="24"/>
          <w:szCs w:val="24"/>
        </w:rPr>
        <w:t>.</w:t>
      </w:r>
      <w:r w:rsidR="000A7433">
        <w:rPr>
          <w:sz w:val="24"/>
          <w:szCs w:val="24"/>
        </w:rPr>
        <w:t xml:space="preserve"> (For relevant excerpts of these filings please see Appendix.)</w:t>
      </w:r>
    </w:p>
    <w:p w:rsidR="00B47188" w:rsidRDefault="00A51D89">
      <w:pPr>
        <w:rPr>
          <w:sz w:val="24"/>
          <w:szCs w:val="24"/>
        </w:rPr>
      </w:pPr>
      <w:r>
        <w:rPr>
          <w:sz w:val="24"/>
          <w:szCs w:val="24"/>
        </w:rPr>
        <w:t>The filings show that these</w:t>
      </w:r>
      <w:r w:rsidR="00B47188">
        <w:rPr>
          <w:sz w:val="24"/>
          <w:szCs w:val="24"/>
        </w:rPr>
        <w:t xml:space="preserve"> companies are </w:t>
      </w:r>
      <w:r>
        <w:rPr>
          <w:sz w:val="24"/>
          <w:szCs w:val="24"/>
        </w:rPr>
        <w:t xml:space="preserve">materially </w:t>
      </w:r>
      <w:r w:rsidR="00B47188">
        <w:rPr>
          <w:sz w:val="24"/>
          <w:szCs w:val="24"/>
        </w:rPr>
        <w:t xml:space="preserve">concerned with the significant and increasing market power of </w:t>
      </w:r>
      <w:r w:rsidR="00362B88">
        <w:rPr>
          <w:sz w:val="24"/>
          <w:szCs w:val="24"/>
        </w:rPr>
        <w:t xml:space="preserve">wireline and wireless </w:t>
      </w:r>
      <w:r w:rsidR="00B47188">
        <w:rPr>
          <w:sz w:val="24"/>
          <w:szCs w:val="24"/>
        </w:rPr>
        <w:t xml:space="preserve">broadband internet access service (BIAS) providers. </w:t>
      </w:r>
      <w:r>
        <w:rPr>
          <w:sz w:val="24"/>
          <w:szCs w:val="24"/>
        </w:rPr>
        <w:t>The filings state that w</w:t>
      </w:r>
      <w:r w:rsidR="00B47188">
        <w:rPr>
          <w:sz w:val="24"/>
          <w:szCs w:val="24"/>
        </w:rPr>
        <w:t>ithout strong, enforceable Open Internet rules, these companies believe that BIAS providers will:</w:t>
      </w:r>
    </w:p>
    <w:p w:rsidR="00F92655" w:rsidRPr="00362B88" w:rsidRDefault="00F92655" w:rsidP="00F92655">
      <w:pPr>
        <w:pStyle w:val="ListParagraph"/>
        <w:numPr>
          <w:ilvl w:val="0"/>
          <w:numId w:val="1"/>
        </w:numPr>
        <w:rPr>
          <w:sz w:val="24"/>
          <w:szCs w:val="24"/>
        </w:rPr>
      </w:pPr>
      <w:r w:rsidRPr="00362B88">
        <w:rPr>
          <w:sz w:val="24"/>
          <w:szCs w:val="24"/>
        </w:rPr>
        <w:t xml:space="preserve">Restrict or prohibit use of their infrastructure; </w:t>
      </w:r>
    </w:p>
    <w:p w:rsidR="00F92655" w:rsidRPr="00362B88" w:rsidRDefault="00F92655" w:rsidP="00F92655">
      <w:pPr>
        <w:pStyle w:val="ListParagraph"/>
        <w:numPr>
          <w:ilvl w:val="0"/>
          <w:numId w:val="1"/>
        </w:numPr>
        <w:rPr>
          <w:sz w:val="24"/>
          <w:szCs w:val="24"/>
        </w:rPr>
      </w:pPr>
      <w:r w:rsidRPr="00362B88">
        <w:rPr>
          <w:sz w:val="24"/>
          <w:szCs w:val="24"/>
        </w:rPr>
        <w:t xml:space="preserve">Interfere with lawful content and/or services; </w:t>
      </w:r>
    </w:p>
    <w:p w:rsidR="00B47188" w:rsidRDefault="00B47188" w:rsidP="00362B88">
      <w:pPr>
        <w:pStyle w:val="ListParagraph"/>
        <w:numPr>
          <w:ilvl w:val="0"/>
          <w:numId w:val="1"/>
        </w:numPr>
        <w:rPr>
          <w:sz w:val="24"/>
          <w:szCs w:val="24"/>
        </w:rPr>
      </w:pPr>
      <w:r w:rsidRPr="00362B88">
        <w:rPr>
          <w:sz w:val="24"/>
          <w:szCs w:val="24"/>
        </w:rPr>
        <w:t>Block, degrade or charge for access to</w:t>
      </w:r>
      <w:r w:rsidR="00A51D89">
        <w:rPr>
          <w:sz w:val="24"/>
          <w:szCs w:val="24"/>
        </w:rPr>
        <w:t>,</w:t>
      </w:r>
      <w:r w:rsidRPr="00362B88">
        <w:rPr>
          <w:sz w:val="24"/>
          <w:szCs w:val="24"/>
        </w:rPr>
        <w:t xml:space="preserve"> or bandwidth use of</w:t>
      </w:r>
      <w:r w:rsidR="00A51D89">
        <w:rPr>
          <w:sz w:val="24"/>
          <w:szCs w:val="24"/>
        </w:rPr>
        <w:t>,</w:t>
      </w:r>
      <w:r w:rsidRPr="00362B88">
        <w:rPr>
          <w:sz w:val="24"/>
          <w:szCs w:val="24"/>
        </w:rPr>
        <w:t xml:space="preserve"> certain products and services;</w:t>
      </w:r>
    </w:p>
    <w:p w:rsidR="00F92655" w:rsidRPr="00362B88" w:rsidRDefault="00F92655" w:rsidP="00362B88">
      <w:pPr>
        <w:pStyle w:val="ListParagraph"/>
        <w:numPr>
          <w:ilvl w:val="0"/>
          <w:numId w:val="1"/>
        </w:numPr>
        <w:rPr>
          <w:sz w:val="24"/>
          <w:szCs w:val="24"/>
        </w:rPr>
      </w:pPr>
      <w:r>
        <w:rPr>
          <w:sz w:val="24"/>
          <w:szCs w:val="24"/>
        </w:rPr>
        <w:t>Impose onerous restrictions on the customers’ ability to use services;</w:t>
      </w:r>
    </w:p>
    <w:p w:rsidR="001804ED" w:rsidRPr="001804ED" w:rsidRDefault="00362B88" w:rsidP="001804ED">
      <w:pPr>
        <w:pStyle w:val="ListParagraph"/>
        <w:numPr>
          <w:ilvl w:val="0"/>
          <w:numId w:val="1"/>
        </w:numPr>
        <w:rPr>
          <w:sz w:val="24"/>
          <w:szCs w:val="24"/>
        </w:rPr>
      </w:pPr>
      <w:r w:rsidRPr="00362B88">
        <w:rPr>
          <w:sz w:val="24"/>
          <w:szCs w:val="24"/>
        </w:rPr>
        <w:t>Favor their own content or services over that of other companies;</w:t>
      </w:r>
    </w:p>
    <w:p w:rsidR="00362B88" w:rsidRPr="00362B88" w:rsidRDefault="00362B88" w:rsidP="00362B88">
      <w:pPr>
        <w:pStyle w:val="ListParagraph"/>
        <w:numPr>
          <w:ilvl w:val="0"/>
          <w:numId w:val="1"/>
        </w:numPr>
        <w:rPr>
          <w:sz w:val="24"/>
          <w:szCs w:val="24"/>
        </w:rPr>
      </w:pPr>
      <w:r w:rsidRPr="00362B88">
        <w:rPr>
          <w:sz w:val="24"/>
          <w:szCs w:val="24"/>
        </w:rPr>
        <w:t>Deliver unaffiliated content with less speed, reliability or otherwise on a non-neutral basis as compared to other market participants;</w:t>
      </w:r>
    </w:p>
    <w:p w:rsidR="00362B88" w:rsidRPr="00362B88" w:rsidRDefault="00362B88" w:rsidP="00362B88">
      <w:pPr>
        <w:pStyle w:val="ListParagraph"/>
        <w:numPr>
          <w:ilvl w:val="0"/>
          <w:numId w:val="1"/>
        </w:numPr>
        <w:rPr>
          <w:sz w:val="24"/>
          <w:szCs w:val="24"/>
        </w:rPr>
      </w:pPr>
      <w:r w:rsidRPr="00362B88">
        <w:rPr>
          <w:sz w:val="24"/>
          <w:szCs w:val="24"/>
        </w:rPr>
        <w:t>Reduce the quality of their service by degrading the quality of the data packets they transmit over their networks, giving some companies’ packets low priority while giving their own packets or those of affiliates higher priority, or blocking packets entirely;</w:t>
      </w:r>
    </w:p>
    <w:p w:rsidR="00362B88" w:rsidRPr="00362B88" w:rsidRDefault="00362B88" w:rsidP="00362B88">
      <w:pPr>
        <w:pStyle w:val="ListParagraph"/>
        <w:numPr>
          <w:ilvl w:val="0"/>
          <w:numId w:val="1"/>
        </w:numPr>
        <w:rPr>
          <w:sz w:val="24"/>
          <w:szCs w:val="24"/>
        </w:rPr>
      </w:pPr>
      <w:r w:rsidRPr="00362B88">
        <w:rPr>
          <w:sz w:val="24"/>
          <w:szCs w:val="24"/>
        </w:rPr>
        <w:t>Impede the offering of new services;</w:t>
      </w:r>
      <w:r w:rsidR="001804ED">
        <w:rPr>
          <w:sz w:val="24"/>
          <w:szCs w:val="24"/>
        </w:rPr>
        <w:t xml:space="preserve"> and</w:t>
      </w:r>
    </w:p>
    <w:p w:rsidR="00362B88" w:rsidRPr="00362B88" w:rsidRDefault="00362B88" w:rsidP="00362B88">
      <w:pPr>
        <w:pStyle w:val="ListParagraph"/>
        <w:numPr>
          <w:ilvl w:val="0"/>
          <w:numId w:val="1"/>
        </w:numPr>
        <w:rPr>
          <w:sz w:val="24"/>
          <w:szCs w:val="24"/>
        </w:rPr>
      </w:pPr>
      <w:r w:rsidRPr="00362B88">
        <w:rPr>
          <w:sz w:val="24"/>
          <w:szCs w:val="24"/>
        </w:rPr>
        <w:t>Impose higher fees for priority access to customers.</w:t>
      </w:r>
    </w:p>
    <w:p w:rsidR="00362B88" w:rsidRDefault="00362B88">
      <w:pPr>
        <w:rPr>
          <w:sz w:val="24"/>
          <w:szCs w:val="24"/>
        </w:rPr>
      </w:pPr>
      <w:r>
        <w:rPr>
          <w:sz w:val="24"/>
          <w:szCs w:val="24"/>
        </w:rPr>
        <w:lastRenderedPageBreak/>
        <w:t xml:space="preserve">If changes to the Commission’s Open Internet rules allow such practices, these companies </w:t>
      </w:r>
      <w:r w:rsidR="00A51D89">
        <w:rPr>
          <w:sz w:val="24"/>
          <w:szCs w:val="24"/>
        </w:rPr>
        <w:t>report to their</w:t>
      </w:r>
      <w:r>
        <w:rPr>
          <w:sz w:val="24"/>
          <w:szCs w:val="24"/>
        </w:rPr>
        <w:t xml:space="preserve"> </w:t>
      </w:r>
      <w:r w:rsidR="00A51D89">
        <w:rPr>
          <w:sz w:val="24"/>
          <w:szCs w:val="24"/>
        </w:rPr>
        <w:t>shareholders</w:t>
      </w:r>
      <w:r>
        <w:rPr>
          <w:sz w:val="24"/>
          <w:szCs w:val="24"/>
        </w:rPr>
        <w:t xml:space="preserve"> that the changes will result in</w:t>
      </w:r>
      <w:r w:rsidR="001804ED">
        <w:rPr>
          <w:sz w:val="24"/>
          <w:szCs w:val="24"/>
        </w:rPr>
        <w:t xml:space="preserve"> the following harms</w:t>
      </w:r>
      <w:r>
        <w:rPr>
          <w:sz w:val="24"/>
          <w:szCs w:val="24"/>
        </w:rPr>
        <w:t>:</w:t>
      </w:r>
    </w:p>
    <w:p w:rsidR="001804ED" w:rsidRPr="001804ED" w:rsidRDefault="001804ED" w:rsidP="001804ED">
      <w:pPr>
        <w:pStyle w:val="ListParagraph"/>
        <w:numPr>
          <w:ilvl w:val="0"/>
          <w:numId w:val="2"/>
        </w:numPr>
        <w:rPr>
          <w:sz w:val="24"/>
          <w:szCs w:val="24"/>
        </w:rPr>
      </w:pPr>
      <w:r w:rsidRPr="001804ED">
        <w:rPr>
          <w:sz w:val="24"/>
          <w:szCs w:val="24"/>
        </w:rPr>
        <w:t xml:space="preserve">These companies will experience discrimination and anticompetitive behavior; </w:t>
      </w:r>
    </w:p>
    <w:p w:rsidR="001804ED" w:rsidRPr="001804ED" w:rsidRDefault="001804ED" w:rsidP="001804ED">
      <w:pPr>
        <w:pStyle w:val="ListParagraph"/>
        <w:numPr>
          <w:ilvl w:val="0"/>
          <w:numId w:val="2"/>
        </w:numPr>
        <w:rPr>
          <w:sz w:val="24"/>
          <w:szCs w:val="24"/>
        </w:rPr>
      </w:pPr>
      <w:r w:rsidRPr="001804ED">
        <w:rPr>
          <w:sz w:val="24"/>
          <w:szCs w:val="24"/>
        </w:rPr>
        <w:t>Additional operating expenses;</w:t>
      </w:r>
    </w:p>
    <w:p w:rsidR="001804ED" w:rsidRPr="001804ED" w:rsidRDefault="001804ED" w:rsidP="001804ED">
      <w:pPr>
        <w:pStyle w:val="ListParagraph"/>
        <w:numPr>
          <w:ilvl w:val="0"/>
          <w:numId w:val="2"/>
        </w:numPr>
        <w:rPr>
          <w:sz w:val="24"/>
          <w:szCs w:val="24"/>
        </w:rPr>
      </w:pPr>
      <w:r w:rsidRPr="001804ED">
        <w:rPr>
          <w:sz w:val="24"/>
          <w:szCs w:val="24"/>
        </w:rPr>
        <w:t>Increased costs to consumers for BIAS and, thereby, depress</w:t>
      </w:r>
      <w:r w:rsidR="00A51D89">
        <w:rPr>
          <w:sz w:val="24"/>
          <w:szCs w:val="24"/>
        </w:rPr>
        <w:t>ed</w:t>
      </w:r>
      <w:r w:rsidRPr="001804ED">
        <w:rPr>
          <w:sz w:val="24"/>
          <w:szCs w:val="24"/>
        </w:rPr>
        <w:t xml:space="preserve"> demand for these companies’ services;</w:t>
      </w:r>
    </w:p>
    <w:p w:rsidR="001804ED" w:rsidRPr="001804ED" w:rsidRDefault="001804ED" w:rsidP="001804ED">
      <w:pPr>
        <w:pStyle w:val="ListParagraph"/>
        <w:numPr>
          <w:ilvl w:val="0"/>
          <w:numId w:val="2"/>
        </w:numPr>
        <w:rPr>
          <w:sz w:val="24"/>
          <w:szCs w:val="24"/>
        </w:rPr>
      </w:pPr>
      <w:r w:rsidRPr="001804ED">
        <w:rPr>
          <w:sz w:val="24"/>
          <w:szCs w:val="24"/>
        </w:rPr>
        <w:t>Decreased ability to sell existing services;</w:t>
      </w:r>
    </w:p>
    <w:p w:rsidR="001804ED" w:rsidRPr="001804ED" w:rsidRDefault="00362B88" w:rsidP="001804ED">
      <w:pPr>
        <w:pStyle w:val="ListParagraph"/>
        <w:numPr>
          <w:ilvl w:val="0"/>
          <w:numId w:val="2"/>
        </w:numPr>
        <w:rPr>
          <w:sz w:val="24"/>
          <w:szCs w:val="24"/>
        </w:rPr>
      </w:pPr>
      <w:r w:rsidRPr="001804ED">
        <w:rPr>
          <w:sz w:val="24"/>
          <w:szCs w:val="24"/>
        </w:rPr>
        <w:t>A loss of existing users</w:t>
      </w:r>
      <w:r w:rsidR="001804ED" w:rsidRPr="001804ED">
        <w:rPr>
          <w:sz w:val="24"/>
          <w:szCs w:val="24"/>
        </w:rPr>
        <w:t>;</w:t>
      </w:r>
      <w:r w:rsidRPr="001804ED">
        <w:rPr>
          <w:sz w:val="24"/>
          <w:szCs w:val="24"/>
        </w:rPr>
        <w:t xml:space="preserve"> </w:t>
      </w:r>
    </w:p>
    <w:p w:rsidR="001804ED" w:rsidRPr="001804ED" w:rsidRDefault="001804ED" w:rsidP="001804ED">
      <w:pPr>
        <w:pStyle w:val="ListParagraph"/>
        <w:numPr>
          <w:ilvl w:val="0"/>
          <w:numId w:val="2"/>
        </w:numPr>
        <w:rPr>
          <w:sz w:val="24"/>
          <w:szCs w:val="24"/>
        </w:rPr>
      </w:pPr>
      <w:r w:rsidRPr="001804ED">
        <w:rPr>
          <w:sz w:val="24"/>
          <w:szCs w:val="24"/>
        </w:rPr>
        <w:t>Impaired ability to attract new users; and</w:t>
      </w:r>
    </w:p>
    <w:p w:rsidR="00362B88" w:rsidRPr="001804ED" w:rsidRDefault="001804ED" w:rsidP="001804ED">
      <w:pPr>
        <w:pStyle w:val="ListParagraph"/>
        <w:numPr>
          <w:ilvl w:val="0"/>
          <w:numId w:val="2"/>
        </w:numPr>
        <w:rPr>
          <w:sz w:val="24"/>
          <w:szCs w:val="24"/>
        </w:rPr>
      </w:pPr>
      <w:r w:rsidRPr="001804ED">
        <w:rPr>
          <w:sz w:val="24"/>
          <w:szCs w:val="24"/>
        </w:rPr>
        <w:t>Negative</w:t>
      </w:r>
      <w:r w:rsidR="00362B88" w:rsidRPr="001804ED">
        <w:rPr>
          <w:sz w:val="24"/>
          <w:szCs w:val="24"/>
        </w:rPr>
        <w:t xml:space="preserve"> </w:t>
      </w:r>
      <w:r w:rsidR="00A51D89">
        <w:rPr>
          <w:sz w:val="24"/>
          <w:szCs w:val="24"/>
        </w:rPr>
        <w:t>consequences on</w:t>
      </w:r>
      <w:r w:rsidRPr="001804ED">
        <w:rPr>
          <w:sz w:val="24"/>
          <w:szCs w:val="24"/>
        </w:rPr>
        <w:t xml:space="preserve"> revenue, </w:t>
      </w:r>
      <w:r w:rsidR="00362B88" w:rsidRPr="001804ED">
        <w:rPr>
          <w:sz w:val="24"/>
          <w:szCs w:val="24"/>
        </w:rPr>
        <w:t>growth</w:t>
      </w:r>
      <w:r w:rsidRPr="001804ED">
        <w:rPr>
          <w:sz w:val="24"/>
          <w:szCs w:val="24"/>
        </w:rPr>
        <w:t>, financial conditions, and cash flow.</w:t>
      </w:r>
    </w:p>
    <w:p w:rsidR="00F92655" w:rsidRDefault="00A51D89">
      <w:pPr>
        <w:rPr>
          <w:sz w:val="24"/>
          <w:szCs w:val="24"/>
        </w:rPr>
      </w:pPr>
      <w:r w:rsidRPr="00A51D89">
        <w:rPr>
          <w:sz w:val="24"/>
          <w:szCs w:val="24"/>
        </w:rPr>
        <w:t xml:space="preserve">Generally, the filings demonstrate that these companies–many of which are household names, </w:t>
      </w:r>
      <w:r w:rsidR="00C10AD9">
        <w:rPr>
          <w:sz w:val="24"/>
          <w:szCs w:val="24"/>
        </w:rPr>
        <w:t>employing</w:t>
      </w:r>
      <w:r w:rsidRPr="00A51D89">
        <w:rPr>
          <w:sz w:val="24"/>
          <w:szCs w:val="24"/>
        </w:rPr>
        <w:t xml:space="preserve"> thousands of </w:t>
      </w:r>
      <w:r w:rsidR="00C10AD9">
        <w:rPr>
          <w:sz w:val="24"/>
          <w:szCs w:val="24"/>
        </w:rPr>
        <w:t>Americans</w:t>
      </w:r>
      <w:r w:rsidRPr="00A51D89">
        <w:rPr>
          <w:sz w:val="24"/>
          <w:szCs w:val="24"/>
        </w:rPr>
        <w:t>–are concerned that any changes to the Commission’s Open Internet rules will adversely affect the growth, popularity, or use of the internet.</w:t>
      </w:r>
    </w:p>
    <w:p w:rsidR="00362B88" w:rsidRDefault="00222092">
      <w:pPr>
        <w:rPr>
          <w:sz w:val="24"/>
          <w:szCs w:val="24"/>
        </w:rPr>
      </w:pPr>
      <w:r>
        <w:rPr>
          <w:sz w:val="24"/>
          <w:szCs w:val="24"/>
        </w:rPr>
        <w:t>Respectfully submitted,</w:t>
      </w:r>
    </w:p>
    <w:p w:rsidR="00222092" w:rsidRPr="00222092" w:rsidRDefault="00222092" w:rsidP="00222092">
      <w:pPr>
        <w:spacing w:after="0"/>
        <w:rPr>
          <w:sz w:val="24"/>
          <w:szCs w:val="24"/>
        </w:rPr>
      </w:pPr>
      <w:r>
        <w:rPr>
          <w:sz w:val="24"/>
          <w:szCs w:val="24"/>
        </w:rPr>
        <w:t>Kevin Taglang</w:t>
      </w:r>
      <w:r>
        <w:rPr>
          <w:sz w:val="24"/>
          <w:szCs w:val="24"/>
        </w:rPr>
        <w:tab/>
      </w:r>
      <w:r>
        <w:rPr>
          <w:sz w:val="24"/>
          <w:szCs w:val="24"/>
        </w:rPr>
        <w:tab/>
      </w:r>
      <w:r>
        <w:rPr>
          <w:sz w:val="24"/>
          <w:szCs w:val="24"/>
        </w:rPr>
        <w:tab/>
      </w:r>
      <w:r>
        <w:rPr>
          <w:sz w:val="24"/>
          <w:szCs w:val="24"/>
        </w:rPr>
        <w:tab/>
      </w:r>
    </w:p>
    <w:p w:rsidR="00222092" w:rsidRPr="00222092" w:rsidRDefault="00222092" w:rsidP="00222092">
      <w:pPr>
        <w:spacing w:after="0"/>
        <w:rPr>
          <w:sz w:val="24"/>
          <w:szCs w:val="24"/>
        </w:rPr>
      </w:pPr>
      <w:r>
        <w:rPr>
          <w:sz w:val="24"/>
          <w:szCs w:val="24"/>
        </w:rPr>
        <w:t>Executive Editor</w:t>
      </w:r>
      <w:r>
        <w:rPr>
          <w:sz w:val="24"/>
          <w:szCs w:val="24"/>
        </w:rPr>
        <w:tab/>
      </w:r>
      <w:r>
        <w:rPr>
          <w:sz w:val="24"/>
          <w:szCs w:val="24"/>
        </w:rPr>
        <w:tab/>
      </w:r>
      <w:r>
        <w:rPr>
          <w:sz w:val="24"/>
          <w:szCs w:val="24"/>
        </w:rPr>
        <w:tab/>
      </w:r>
    </w:p>
    <w:p w:rsidR="00222092" w:rsidRDefault="00222092" w:rsidP="00222092">
      <w:pPr>
        <w:spacing w:after="0"/>
        <w:rPr>
          <w:sz w:val="24"/>
          <w:szCs w:val="24"/>
        </w:rPr>
      </w:pPr>
      <w:r>
        <w:rPr>
          <w:sz w:val="24"/>
          <w:szCs w:val="24"/>
        </w:rPr>
        <w:t>Benton Foundation</w:t>
      </w:r>
      <w:r>
        <w:rPr>
          <w:sz w:val="24"/>
          <w:szCs w:val="24"/>
        </w:rPr>
        <w:tab/>
      </w:r>
      <w:r>
        <w:rPr>
          <w:sz w:val="24"/>
          <w:szCs w:val="24"/>
        </w:rPr>
        <w:tab/>
      </w:r>
      <w:r>
        <w:rPr>
          <w:sz w:val="24"/>
          <w:szCs w:val="24"/>
        </w:rPr>
        <w:tab/>
      </w:r>
    </w:p>
    <w:p w:rsidR="00362B88" w:rsidRDefault="00362B88">
      <w:pPr>
        <w:rPr>
          <w:sz w:val="24"/>
          <w:szCs w:val="24"/>
        </w:rPr>
      </w:pPr>
    </w:p>
    <w:p w:rsidR="00362B88" w:rsidRDefault="00362B88">
      <w:pPr>
        <w:rPr>
          <w:sz w:val="24"/>
          <w:szCs w:val="24"/>
        </w:rPr>
      </w:pPr>
    </w:p>
    <w:p w:rsidR="00362B88" w:rsidRDefault="00362B88">
      <w:pPr>
        <w:rPr>
          <w:sz w:val="24"/>
          <w:szCs w:val="24"/>
        </w:rPr>
      </w:pPr>
    </w:p>
    <w:p w:rsidR="00DD2791" w:rsidRDefault="00DD2791">
      <w:pPr>
        <w:rPr>
          <w:sz w:val="24"/>
          <w:szCs w:val="24"/>
        </w:rPr>
      </w:pPr>
    </w:p>
    <w:p w:rsidR="00E13D89" w:rsidRPr="00E13D89" w:rsidRDefault="00E13D89">
      <w:pPr>
        <w:rPr>
          <w:sz w:val="24"/>
          <w:szCs w:val="24"/>
        </w:rPr>
      </w:pPr>
    </w:p>
    <w:sectPr w:rsidR="00E13D89" w:rsidRPr="00E13D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A45F88"/>
    <w:multiLevelType w:val="hybridMultilevel"/>
    <w:tmpl w:val="586A5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D85A36"/>
    <w:multiLevelType w:val="hybridMultilevel"/>
    <w:tmpl w:val="4A8C5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D89"/>
    <w:rsid w:val="000A7433"/>
    <w:rsid w:val="001804ED"/>
    <w:rsid w:val="00222092"/>
    <w:rsid w:val="00330EC3"/>
    <w:rsid w:val="00362B88"/>
    <w:rsid w:val="00A51D89"/>
    <w:rsid w:val="00B47188"/>
    <w:rsid w:val="00C10AD9"/>
    <w:rsid w:val="00C91917"/>
    <w:rsid w:val="00CD1FC5"/>
    <w:rsid w:val="00D90FB2"/>
    <w:rsid w:val="00DD2791"/>
    <w:rsid w:val="00E13D89"/>
    <w:rsid w:val="00E57096"/>
    <w:rsid w:val="00F92655"/>
    <w:rsid w:val="00FA3B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99B6D"/>
  <w15:chartTrackingRefBased/>
  <w15:docId w15:val="{A60F1975-38D0-403E-A6D9-77CFC98B6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2B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2</Pages>
  <Words>403</Words>
  <Characters>2301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ktaglang</dc:creator>
  <cp:keywords/>
  <dc:description/>
  <cp:lastModifiedBy>ktaglang</cp:lastModifiedBy>
  <cp:revision>5</cp:revision>
  <dcterms:created xsi:type="dcterms:W3CDTF">2017-11-08T21:15:00Z</dcterms:created>
  <dcterms:modified xsi:type="dcterms:W3CDTF">2017-11-17T14:28:00Z</dcterms:modified>
</cp:coreProperties>
</file>