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D6B" w:rsidRPr="00201598" w:rsidRDefault="009D4D6B" w:rsidP="004858D4">
      <w:pPr>
        <w:rPr>
          <w:sz w:val="20"/>
          <w:szCs w:val="20"/>
          <w:lang w:val="en"/>
        </w:rPr>
      </w:pPr>
      <w:bookmarkStart w:id="0" w:name="_GoBack"/>
      <w:bookmarkEnd w:id="0"/>
      <w:r w:rsidRPr="00201598">
        <w:rPr>
          <w:sz w:val="20"/>
          <w:szCs w:val="20"/>
          <w:lang w:val="en"/>
        </w:rPr>
        <w:t>Federal Communications Commission</w:t>
      </w:r>
      <w:r w:rsidRPr="00201598">
        <w:rPr>
          <w:sz w:val="20"/>
          <w:szCs w:val="20"/>
          <w:lang w:val="en"/>
        </w:rPr>
        <w:tab/>
      </w:r>
      <w:r w:rsidRPr="00201598">
        <w:rPr>
          <w:sz w:val="20"/>
          <w:szCs w:val="20"/>
          <w:lang w:val="en"/>
        </w:rPr>
        <w:tab/>
      </w:r>
      <w:r w:rsidRPr="00201598">
        <w:rPr>
          <w:sz w:val="20"/>
          <w:szCs w:val="20"/>
          <w:lang w:val="en"/>
        </w:rPr>
        <w:tab/>
      </w:r>
      <w:r w:rsidRPr="00201598">
        <w:rPr>
          <w:sz w:val="20"/>
          <w:szCs w:val="20"/>
          <w:lang w:val="en"/>
        </w:rPr>
        <w:tab/>
      </w:r>
      <w:r w:rsidRPr="00201598">
        <w:rPr>
          <w:sz w:val="20"/>
          <w:szCs w:val="20"/>
          <w:lang w:val="en"/>
        </w:rPr>
        <w:tab/>
      </w:r>
      <w:r w:rsidRPr="00201598">
        <w:rPr>
          <w:sz w:val="20"/>
          <w:szCs w:val="20"/>
          <w:lang w:val="en"/>
        </w:rPr>
        <w:tab/>
      </w:r>
      <w:r w:rsidRPr="00201598">
        <w:rPr>
          <w:sz w:val="20"/>
          <w:szCs w:val="20"/>
          <w:lang w:val="en"/>
        </w:rPr>
        <w:tab/>
        <w:t>11/15/17</w:t>
      </w:r>
      <w:r w:rsidR="004858D4" w:rsidRPr="00201598">
        <w:rPr>
          <w:sz w:val="20"/>
          <w:szCs w:val="20"/>
          <w:lang w:val="en"/>
        </w:rPr>
        <w:br/>
      </w:r>
      <w:r w:rsidRPr="00201598">
        <w:rPr>
          <w:sz w:val="20"/>
          <w:szCs w:val="20"/>
          <w:lang w:val="en"/>
        </w:rPr>
        <w:t>445 12st Street SW</w:t>
      </w:r>
    </w:p>
    <w:p w:rsidR="004858D4" w:rsidRPr="00201598" w:rsidRDefault="009D4D6B" w:rsidP="004858D4">
      <w:pPr>
        <w:rPr>
          <w:sz w:val="20"/>
          <w:szCs w:val="20"/>
          <w:lang w:val="en"/>
        </w:rPr>
      </w:pPr>
      <w:r w:rsidRPr="00201598">
        <w:rPr>
          <w:sz w:val="20"/>
          <w:szCs w:val="20"/>
          <w:lang w:val="en"/>
        </w:rPr>
        <w:t>Washington DC, 20554</w:t>
      </w:r>
      <w:r w:rsidR="004858D4" w:rsidRPr="00201598">
        <w:rPr>
          <w:sz w:val="20"/>
          <w:szCs w:val="20"/>
          <w:lang w:val="en"/>
        </w:rPr>
        <w:br/>
      </w:r>
    </w:p>
    <w:p w:rsidR="004858D4" w:rsidRPr="00201598" w:rsidRDefault="004858D4" w:rsidP="004858D4">
      <w:pPr>
        <w:rPr>
          <w:sz w:val="20"/>
          <w:szCs w:val="20"/>
        </w:rPr>
      </w:pPr>
    </w:p>
    <w:p w:rsidR="004858D4" w:rsidRPr="00201598" w:rsidRDefault="009D4D6B" w:rsidP="004858D4">
      <w:pPr>
        <w:rPr>
          <w:sz w:val="20"/>
          <w:szCs w:val="20"/>
        </w:rPr>
      </w:pPr>
      <w:r w:rsidRPr="00201598">
        <w:rPr>
          <w:sz w:val="20"/>
          <w:szCs w:val="20"/>
        </w:rPr>
        <w:t>Re: Letter of Appeal, USAC’s Decision of Appeal for Funding Years 2014-2015 and 2015-2016, issued 9/26/17</w:t>
      </w:r>
    </w:p>
    <w:p w:rsidR="009D4D6B" w:rsidRPr="00201598" w:rsidRDefault="009D4D6B" w:rsidP="004858D4">
      <w:pPr>
        <w:rPr>
          <w:sz w:val="20"/>
          <w:szCs w:val="20"/>
        </w:rPr>
      </w:pPr>
    </w:p>
    <w:p w:rsidR="004858D4" w:rsidRPr="00201598" w:rsidRDefault="004858D4" w:rsidP="004858D4">
      <w:pPr>
        <w:rPr>
          <w:sz w:val="20"/>
          <w:szCs w:val="20"/>
        </w:rPr>
      </w:pPr>
      <w:r w:rsidRPr="00201598">
        <w:rPr>
          <w:sz w:val="20"/>
          <w:szCs w:val="20"/>
        </w:rPr>
        <w:t>Dear Sir or Madam:</w:t>
      </w:r>
    </w:p>
    <w:p w:rsidR="004858D4" w:rsidRPr="00201598" w:rsidRDefault="004858D4" w:rsidP="004858D4">
      <w:pPr>
        <w:rPr>
          <w:sz w:val="20"/>
          <w:szCs w:val="20"/>
        </w:rPr>
      </w:pPr>
    </w:p>
    <w:p w:rsidR="004858D4" w:rsidRPr="00201598" w:rsidRDefault="004858D4" w:rsidP="004858D4">
      <w:pPr>
        <w:rPr>
          <w:sz w:val="20"/>
          <w:szCs w:val="20"/>
        </w:rPr>
      </w:pPr>
      <w:r w:rsidRPr="00201598">
        <w:rPr>
          <w:sz w:val="20"/>
          <w:szCs w:val="20"/>
        </w:rPr>
        <w:t>I am submitting this letter of appeal rega</w:t>
      </w:r>
      <w:r w:rsidR="00B454E7" w:rsidRPr="00201598">
        <w:rPr>
          <w:sz w:val="20"/>
          <w:szCs w:val="20"/>
        </w:rPr>
        <w:t xml:space="preserve">rding denial of E-rate FY </w:t>
      </w:r>
      <w:r w:rsidR="002E4F92" w:rsidRPr="00201598">
        <w:rPr>
          <w:sz w:val="20"/>
          <w:szCs w:val="20"/>
        </w:rPr>
        <w:t xml:space="preserve">2014 and FY 2015 </w:t>
      </w:r>
      <w:r w:rsidR="00B454E7" w:rsidRPr="00201598">
        <w:rPr>
          <w:sz w:val="20"/>
          <w:szCs w:val="20"/>
        </w:rPr>
        <w:t xml:space="preserve">Funding Request Internet Access </w:t>
      </w:r>
      <w:r w:rsidRPr="00201598">
        <w:rPr>
          <w:sz w:val="20"/>
          <w:szCs w:val="20"/>
        </w:rPr>
        <w:t>on the grounds that all competitive bidding documentation has been retained, and all bids have been fully considered in the selection processes regarding the below funding requests:</w:t>
      </w:r>
    </w:p>
    <w:p w:rsidR="004858D4" w:rsidRPr="00201598" w:rsidRDefault="004858D4" w:rsidP="004858D4">
      <w:pPr>
        <w:rPr>
          <w:sz w:val="20"/>
          <w:szCs w:val="20"/>
        </w:rPr>
      </w:pPr>
    </w:p>
    <w:p w:rsidR="004858D4" w:rsidRPr="00201598" w:rsidRDefault="004858D4" w:rsidP="004858D4">
      <w:pPr>
        <w:rPr>
          <w:sz w:val="20"/>
          <w:szCs w:val="20"/>
        </w:rPr>
      </w:pPr>
      <w:r w:rsidRPr="00201598">
        <w:rPr>
          <w:sz w:val="20"/>
          <w:szCs w:val="20"/>
        </w:rPr>
        <w:tab/>
        <w:t>Appellant Name:</w:t>
      </w:r>
      <w:r w:rsidRPr="00201598">
        <w:rPr>
          <w:sz w:val="20"/>
          <w:szCs w:val="20"/>
        </w:rPr>
        <w:tab/>
      </w:r>
      <w:r w:rsidRPr="00201598">
        <w:rPr>
          <w:sz w:val="20"/>
          <w:szCs w:val="20"/>
        </w:rPr>
        <w:tab/>
        <w:t>e2e Exchange, LLC</w:t>
      </w:r>
    </w:p>
    <w:p w:rsidR="00A00B4D" w:rsidRPr="00201598" w:rsidRDefault="004858D4" w:rsidP="00745B4E">
      <w:pPr>
        <w:ind w:left="720"/>
        <w:rPr>
          <w:sz w:val="20"/>
          <w:szCs w:val="20"/>
        </w:rPr>
      </w:pPr>
      <w:r w:rsidRPr="00201598">
        <w:rPr>
          <w:sz w:val="20"/>
          <w:szCs w:val="20"/>
        </w:rPr>
        <w:t xml:space="preserve">Applicant Name: </w:t>
      </w:r>
      <w:r w:rsidRPr="00201598">
        <w:rPr>
          <w:sz w:val="20"/>
          <w:szCs w:val="20"/>
        </w:rPr>
        <w:tab/>
      </w:r>
      <w:r w:rsidRPr="00201598">
        <w:rPr>
          <w:sz w:val="20"/>
          <w:szCs w:val="20"/>
        </w:rPr>
        <w:tab/>
        <w:t>Southern Westchester BOCES</w:t>
      </w:r>
    </w:p>
    <w:p w:rsidR="000269B1" w:rsidRPr="00201598" w:rsidRDefault="000269B1">
      <w:pPr>
        <w:rPr>
          <w:noProof/>
        </w:rPr>
      </w:pPr>
    </w:p>
    <w:p w:rsidR="00A127D5" w:rsidRPr="00201598" w:rsidRDefault="0022569E" w:rsidP="0022569E">
      <w:r w:rsidRPr="00201598">
        <w:t xml:space="preserve">            </w:t>
      </w:r>
    </w:p>
    <w:tbl>
      <w:tblPr>
        <w:tblW w:w="6800" w:type="dxa"/>
        <w:tblInd w:w="93" w:type="dxa"/>
        <w:tblLook w:val="04A0" w:firstRow="1" w:lastRow="0" w:firstColumn="1" w:lastColumn="0" w:noHBand="0" w:noVBand="1"/>
      </w:tblPr>
      <w:tblGrid>
        <w:gridCol w:w="960"/>
        <w:gridCol w:w="997"/>
        <w:gridCol w:w="997"/>
        <w:gridCol w:w="1960"/>
        <w:gridCol w:w="1960"/>
      </w:tblGrid>
      <w:tr w:rsidR="00A127D5" w:rsidRPr="00201598" w:rsidTr="00A127D5">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A127D5" w:rsidRPr="00201598" w:rsidRDefault="00A127D5">
            <w:pPr>
              <w:rPr>
                <w:rFonts w:ascii="Calibri" w:hAnsi="Calibri"/>
                <w:b/>
                <w:bCs/>
                <w:color w:val="000000"/>
                <w:sz w:val="22"/>
                <w:szCs w:val="22"/>
              </w:rPr>
            </w:pPr>
            <w:r w:rsidRPr="00201598">
              <w:rPr>
                <w:rFonts w:ascii="Calibri" w:hAnsi="Calibri"/>
                <w:b/>
                <w:bCs/>
                <w:color w:val="000000"/>
                <w:sz w:val="22"/>
                <w:szCs w:val="22"/>
              </w:rPr>
              <w:t>FY</w:t>
            </w:r>
          </w:p>
        </w:tc>
        <w:tc>
          <w:tcPr>
            <w:tcW w:w="960" w:type="dxa"/>
            <w:tcBorders>
              <w:top w:val="single" w:sz="4" w:space="0" w:color="auto"/>
              <w:left w:val="nil"/>
              <w:bottom w:val="single" w:sz="4" w:space="0" w:color="auto"/>
              <w:right w:val="single" w:sz="4" w:space="0" w:color="auto"/>
            </w:tcBorders>
            <w:shd w:val="clear" w:color="000000" w:fill="BFBFBF"/>
            <w:noWrap/>
            <w:vAlign w:val="bottom"/>
            <w:hideMark/>
          </w:tcPr>
          <w:p w:rsidR="00A127D5" w:rsidRPr="00201598" w:rsidRDefault="00A127D5">
            <w:pPr>
              <w:jc w:val="right"/>
              <w:rPr>
                <w:rFonts w:ascii="Calibri" w:hAnsi="Calibri"/>
                <w:b/>
                <w:bCs/>
                <w:color w:val="000000"/>
                <w:sz w:val="22"/>
                <w:szCs w:val="22"/>
              </w:rPr>
            </w:pPr>
            <w:r w:rsidRPr="00201598">
              <w:rPr>
                <w:rFonts w:ascii="Calibri" w:hAnsi="Calibri"/>
                <w:b/>
                <w:bCs/>
                <w:color w:val="000000"/>
                <w:sz w:val="22"/>
                <w:szCs w:val="22"/>
              </w:rPr>
              <w:t>471</w:t>
            </w:r>
          </w:p>
        </w:tc>
        <w:tc>
          <w:tcPr>
            <w:tcW w:w="960" w:type="dxa"/>
            <w:tcBorders>
              <w:top w:val="single" w:sz="4" w:space="0" w:color="auto"/>
              <w:left w:val="nil"/>
              <w:bottom w:val="single" w:sz="4" w:space="0" w:color="auto"/>
              <w:right w:val="single" w:sz="4" w:space="0" w:color="auto"/>
            </w:tcBorders>
            <w:shd w:val="clear" w:color="000000" w:fill="BFBFBF"/>
            <w:noWrap/>
            <w:vAlign w:val="bottom"/>
            <w:hideMark/>
          </w:tcPr>
          <w:p w:rsidR="00A127D5" w:rsidRPr="00201598" w:rsidRDefault="00A127D5">
            <w:pPr>
              <w:rPr>
                <w:rFonts w:ascii="Calibri" w:hAnsi="Calibri"/>
                <w:b/>
                <w:bCs/>
                <w:color w:val="000000"/>
                <w:sz w:val="22"/>
                <w:szCs w:val="22"/>
              </w:rPr>
            </w:pPr>
            <w:r w:rsidRPr="00201598">
              <w:rPr>
                <w:rFonts w:ascii="Calibri" w:hAnsi="Calibri"/>
                <w:b/>
                <w:bCs/>
                <w:color w:val="000000"/>
                <w:sz w:val="22"/>
                <w:szCs w:val="22"/>
              </w:rPr>
              <w:t>FRN</w:t>
            </w:r>
          </w:p>
        </w:tc>
        <w:tc>
          <w:tcPr>
            <w:tcW w:w="1960" w:type="dxa"/>
            <w:tcBorders>
              <w:top w:val="single" w:sz="4" w:space="0" w:color="auto"/>
              <w:left w:val="nil"/>
              <w:bottom w:val="single" w:sz="4" w:space="0" w:color="auto"/>
              <w:right w:val="single" w:sz="4" w:space="0" w:color="auto"/>
            </w:tcBorders>
            <w:shd w:val="clear" w:color="000000" w:fill="BFBFBF"/>
            <w:noWrap/>
            <w:vAlign w:val="bottom"/>
            <w:hideMark/>
          </w:tcPr>
          <w:p w:rsidR="00A127D5" w:rsidRPr="00201598" w:rsidRDefault="00A127D5">
            <w:pPr>
              <w:rPr>
                <w:rFonts w:ascii="Calibri" w:hAnsi="Calibri"/>
                <w:b/>
                <w:bCs/>
                <w:color w:val="000000"/>
                <w:sz w:val="22"/>
                <w:szCs w:val="22"/>
              </w:rPr>
            </w:pPr>
            <w:r w:rsidRPr="00201598">
              <w:rPr>
                <w:rFonts w:ascii="Calibri" w:hAnsi="Calibri"/>
                <w:b/>
                <w:bCs/>
                <w:color w:val="000000"/>
                <w:sz w:val="22"/>
                <w:szCs w:val="22"/>
              </w:rPr>
              <w:t>Service Provider</w:t>
            </w:r>
          </w:p>
        </w:tc>
        <w:tc>
          <w:tcPr>
            <w:tcW w:w="1960" w:type="dxa"/>
            <w:tcBorders>
              <w:top w:val="single" w:sz="4" w:space="0" w:color="auto"/>
              <w:left w:val="nil"/>
              <w:bottom w:val="single" w:sz="4" w:space="0" w:color="auto"/>
              <w:right w:val="single" w:sz="4" w:space="0" w:color="auto"/>
            </w:tcBorders>
            <w:shd w:val="clear" w:color="000000" w:fill="BFBFBF"/>
            <w:noWrap/>
            <w:vAlign w:val="bottom"/>
            <w:hideMark/>
          </w:tcPr>
          <w:p w:rsidR="00A127D5" w:rsidRPr="00201598" w:rsidRDefault="00A127D5">
            <w:pPr>
              <w:rPr>
                <w:rFonts w:ascii="Calibri" w:hAnsi="Calibri"/>
                <w:b/>
                <w:bCs/>
                <w:color w:val="000000"/>
                <w:sz w:val="22"/>
                <w:szCs w:val="22"/>
              </w:rPr>
            </w:pPr>
            <w:r w:rsidRPr="00201598">
              <w:rPr>
                <w:rFonts w:ascii="Calibri" w:hAnsi="Calibri"/>
                <w:b/>
                <w:bCs/>
                <w:color w:val="000000"/>
                <w:sz w:val="22"/>
                <w:szCs w:val="22"/>
              </w:rPr>
              <w:t>Recipient</w:t>
            </w:r>
          </w:p>
        </w:tc>
      </w:tr>
      <w:tr w:rsidR="00A127D5" w:rsidRPr="00201598" w:rsidTr="00A127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127D5" w:rsidRPr="00201598" w:rsidRDefault="00A127D5">
            <w:pPr>
              <w:jc w:val="right"/>
              <w:rPr>
                <w:rFonts w:ascii="Calibri" w:hAnsi="Calibri"/>
                <w:color w:val="000000"/>
                <w:sz w:val="22"/>
                <w:szCs w:val="22"/>
              </w:rPr>
            </w:pPr>
            <w:r w:rsidRPr="00201598">
              <w:rPr>
                <w:rFonts w:ascii="Calibri" w:hAnsi="Calibri"/>
                <w:color w:val="000000"/>
                <w:sz w:val="22"/>
                <w:szCs w:val="22"/>
              </w:rPr>
              <w:t>2015</w:t>
            </w:r>
          </w:p>
        </w:tc>
        <w:tc>
          <w:tcPr>
            <w:tcW w:w="960" w:type="dxa"/>
            <w:tcBorders>
              <w:top w:val="nil"/>
              <w:left w:val="nil"/>
              <w:bottom w:val="single" w:sz="4" w:space="0" w:color="auto"/>
              <w:right w:val="single" w:sz="4" w:space="0" w:color="auto"/>
            </w:tcBorders>
            <w:shd w:val="clear" w:color="auto" w:fill="auto"/>
            <w:noWrap/>
            <w:vAlign w:val="bottom"/>
            <w:hideMark/>
          </w:tcPr>
          <w:p w:rsidR="00A127D5" w:rsidRPr="00201598" w:rsidRDefault="00A127D5">
            <w:pPr>
              <w:jc w:val="right"/>
              <w:rPr>
                <w:rFonts w:ascii="Calibri" w:hAnsi="Calibri"/>
                <w:color w:val="000000"/>
                <w:sz w:val="22"/>
                <w:szCs w:val="22"/>
              </w:rPr>
            </w:pPr>
            <w:r w:rsidRPr="00201598">
              <w:rPr>
                <w:rFonts w:ascii="Calibri" w:hAnsi="Calibri"/>
                <w:color w:val="000000"/>
                <w:sz w:val="22"/>
                <w:szCs w:val="22"/>
              </w:rPr>
              <w:t>1001336</w:t>
            </w:r>
          </w:p>
        </w:tc>
        <w:tc>
          <w:tcPr>
            <w:tcW w:w="960" w:type="dxa"/>
            <w:tcBorders>
              <w:top w:val="nil"/>
              <w:left w:val="nil"/>
              <w:bottom w:val="single" w:sz="4" w:space="0" w:color="auto"/>
              <w:right w:val="single" w:sz="4" w:space="0" w:color="auto"/>
            </w:tcBorders>
            <w:shd w:val="clear" w:color="auto" w:fill="auto"/>
            <w:noWrap/>
            <w:vAlign w:val="bottom"/>
            <w:hideMark/>
          </w:tcPr>
          <w:p w:rsidR="00A127D5" w:rsidRPr="00201598" w:rsidRDefault="00A127D5">
            <w:pPr>
              <w:jc w:val="right"/>
              <w:rPr>
                <w:rFonts w:ascii="Calibri" w:hAnsi="Calibri"/>
                <w:color w:val="000000"/>
                <w:sz w:val="22"/>
                <w:szCs w:val="22"/>
              </w:rPr>
            </w:pPr>
            <w:r w:rsidRPr="00201598">
              <w:rPr>
                <w:rFonts w:ascii="Calibri" w:hAnsi="Calibri"/>
                <w:color w:val="000000"/>
                <w:sz w:val="22"/>
                <w:szCs w:val="22"/>
              </w:rPr>
              <w:t>2724304</w:t>
            </w:r>
          </w:p>
        </w:tc>
        <w:tc>
          <w:tcPr>
            <w:tcW w:w="1960" w:type="dxa"/>
            <w:tcBorders>
              <w:top w:val="nil"/>
              <w:left w:val="nil"/>
              <w:bottom w:val="single" w:sz="4" w:space="0" w:color="auto"/>
              <w:right w:val="single" w:sz="4" w:space="0" w:color="auto"/>
            </w:tcBorders>
            <w:shd w:val="clear" w:color="auto" w:fill="auto"/>
            <w:noWrap/>
            <w:vAlign w:val="bottom"/>
            <w:hideMark/>
          </w:tcPr>
          <w:p w:rsidR="00A127D5" w:rsidRPr="00201598" w:rsidRDefault="00A127D5">
            <w:pPr>
              <w:rPr>
                <w:rFonts w:ascii="Calibri" w:hAnsi="Calibri"/>
                <w:color w:val="000000"/>
                <w:sz w:val="22"/>
                <w:szCs w:val="22"/>
              </w:rPr>
            </w:pPr>
            <w:r w:rsidRPr="00201598">
              <w:rPr>
                <w:rFonts w:ascii="Calibri" w:hAnsi="Calibri"/>
                <w:color w:val="000000"/>
                <w:sz w:val="22"/>
                <w:szCs w:val="22"/>
              </w:rPr>
              <w:t>Best Web</w:t>
            </w:r>
          </w:p>
        </w:tc>
        <w:tc>
          <w:tcPr>
            <w:tcW w:w="1960" w:type="dxa"/>
            <w:tcBorders>
              <w:top w:val="nil"/>
              <w:left w:val="nil"/>
              <w:bottom w:val="single" w:sz="4" w:space="0" w:color="auto"/>
              <w:right w:val="single" w:sz="4" w:space="0" w:color="auto"/>
            </w:tcBorders>
            <w:shd w:val="clear" w:color="auto" w:fill="auto"/>
            <w:noWrap/>
            <w:vAlign w:val="bottom"/>
            <w:hideMark/>
          </w:tcPr>
          <w:p w:rsidR="00A127D5" w:rsidRPr="00201598" w:rsidRDefault="00A127D5">
            <w:pPr>
              <w:rPr>
                <w:rFonts w:ascii="Calibri" w:hAnsi="Calibri"/>
                <w:color w:val="000000"/>
                <w:sz w:val="22"/>
                <w:szCs w:val="22"/>
              </w:rPr>
            </w:pPr>
            <w:r w:rsidRPr="00201598">
              <w:rPr>
                <w:rFonts w:ascii="Calibri" w:hAnsi="Calibri"/>
                <w:color w:val="000000"/>
                <w:sz w:val="22"/>
                <w:szCs w:val="22"/>
              </w:rPr>
              <w:t>Eastchester</w:t>
            </w:r>
          </w:p>
        </w:tc>
      </w:tr>
      <w:tr w:rsidR="00A127D5" w:rsidRPr="00201598" w:rsidTr="00A127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127D5" w:rsidRPr="00201598" w:rsidRDefault="00A127D5">
            <w:pPr>
              <w:jc w:val="right"/>
              <w:rPr>
                <w:rFonts w:ascii="Calibri" w:hAnsi="Calibri"/>
                <w:color w:val="000000"/>
                <w:sz w:val="22"/>
                <w:szCs w:val="22"/>
              </w:rPr>
            </w:pPr>
            <w:r w:rsidRPr="00201598">
              <w:rPr>
                <w:rFonts w:ascii="Calibri" w:hAnsi="Calibri"/>
                <w:color w:val="000000"/>
                <w:sz w:val="22"/>
                <w:szCs w:val="22"/>
              </w:rPr>
              <w:t>2015</w:t>
            </w:r>
          </w:p>
        </w:tc>
        <w:tc>
          <w:tcPr>
            <w:tcW w:w="960" w:type="dxa"/>
            <w:tcBorders>
              <w:top w:val="nil"/>
              <w:left w:val="nil"/>
              <w:bottom w:val="single" w:sz="4" w:space="0" w:color="auto"/>
              <w:right w:val="single" w:sz="4" w:space="0" w:color="auto"/>
            </w:tcBorders>
            <w:shd w:val="clear" w:color="auto" w:fill="auto"/>
            <w:noWrap/>
            <w:vAlign w:val="bottom"/>
            <w:hideMark/>
          </w:tcPr>
          <w:p w:rsidR="00A127D5" w:rsidRPr="00201598" w:rsidRDefault="00A127D5">
            <w:pPr>
              <w:jc w:val="right"/>
              <w:rPr>
                <w:rFonts w:ascii="Calibri" w:hAnsi="Calibri"/>
                <w:color w:val="000000"/>
                <w:sz w:val="22"/>
                <w:szCs w:val="22"/>
              </w:rPr>
            </w:pPr>
            <w:r w:rsidRPr="00201598">
              <w:rPr>
                <w:rFonts w:ascii="Calibri" w:hAnsi="Calibri"/>
                <w:color w:val="000000"/>
                <w:sz w:val="22"/>
                <w:szCs w:val="22"/>
              </w:rPr>
              <w:t>1001344</w:t>
            </w:r>
          </w:p>
        </w:tc>
        <w:tc>
          <w:tcPr>
            <w:tcW w:w="960" w:type="dxa"/>
            <w:tcBorders>
              <w:top w:val="nil"/>
              <w:left w:val="nil"/>
              <w:bottom w:val="single" w:sz="4" w:space="0" w:color="auto"/>
              <w:right w:val="single" w:sz="4" w:space="0" w:color="auto"/>
            </w:tcBorders>
            <w:shd w:val="clear" w:color="auto" w:fill="auto"/>
            <w:noWrap/>
            <w:vAlign w:val="bottom"/>
            <w:hideMark/>
          </w:tcPr>
          <w:p w:rsidR="00A127D5" w:rsidRPr="00201598" w:rsidRDefault="00A127D5">
            <w:pPr>
              <w:jc w:val="right"/>
              <w:rPr>
                <w:rFonts w:ascii="Calibri" w:hAnsi="Calibri"/>
                <w:color w:val="000000"/>
                <w:sz w:val="22"/>
                <w:szCs w:val="22"/>
              </w:rPr>
            </w:pPr>
            <w:r w:rsidRPr="00201598">
              <w:rPr>
                <w:rFonts w:ascii="Calibri" w:hAnsi="Calibri"/>
                <w:color w:val="000000"/>
                <w:sz w:val="22"/>
                <w:szCs w:val="22"/>
              </w:rPr>
              <w:t>2724312</w:t>
            </w:r>
          </w:p>
        </w:tc>
        <w:tc>
          <w:tcPr>
            <w:tcW w:w="1960" w:type="dxa"/>
            <w:tcBorders>
              <w:top w:val="nil"/>
              <w:left w:val="nil"/>
              <w:bottom w:val="single" w:sz="4" w:space="0" w:color="auto"/>
              <w:right w:val="single" w:sz="4" w:space="0" w:color="auto"/>
            </w:tcBorders>
            <w:shd w:val="clear" w:color="auto" w:fill="auto"/>
            <w:noWrap/>
            <w:vAlign w:val="bottom"/>
            <w:hideMark/>
          </w:tcPr>
          <w:p w:rsidR="00A127D5" w:rsidRPr="00201598" w:rsidRDefault="00A127D5">
            <w:pPr>
              <w:rPr>
                <w:rFonts w:ascii="Calibri" w:hAnsi="Calibri"/>
                <w:color w:val="000000"/>
                <w:sz w:val="22"/>
                <w:szCs w:val="22"/>
              </w:rPr>
            </w:pPr>
            <w:r w:rsidRPr="00201598">
              <w:rPr>
                <w:rFonts w:ascii="Calibri" w:hAnsi="Calibri"/>
                <w:color w:val="000000"/>
                <w:sz w:val="22"/>
                <w:szCs w:val="22"/>
              </w:rPr>
              <w:t>Best Web</w:t>
            </w:r>
          </w:p>
        </w:tc>
        <w:tc>
          <w:tcPr>
            <w:tcW w:w="1960" w:type="dxa"/>
            <w:tcBorders>
              <w:top w:val="nil"/>
              <w:left w:val="nil"/>
              <w:bottom w:val="single" w:sz="4" w:space="0" w:color="auto"/>
              <w:right w:val="single" w:sz="4" w:space="0" w:color="auto"/>
            </w:tcBorders>
            <w:shd w:val="clear" w:color="auto" w:fill="auto"/>
            <w:noWrap/>
            <w:vAlign w:val="bottom"/>
            <w:hideMark/>
          </w:tcPr>
          <w:p w:rsidR="00A127D5" w:rsidRPr="00201598" w:rsidRDefault="00A127D5">
            <w:pPr>
              <w:rPr>
                <w:rFonts w:ascii="Calibri" w:hAnsi="Calibri"/>
                <w:color w:val="000000"/>
                <w:sz w:val="22"/>
                <w:szCs w:val="22"/>
              </w:rPr>
            </w:pPr>
            <w:proofErr w:type="spellStart"/>
            <w:r w:rsidRPr="00201598">
              <w:rPr>
                <w:rFonts w:ascii="Calibri" w:hAnsi="Calibri"/>
                <w:color w:val="000000"/>
                <w:sz w:val="22"/>
                <w:szCs w:val="22"/>
              </w:rPr>
              <w:t>Greenburgh</w:t>
            </w:r>
            <w:proofErr w:type="spellEnd"/>
            <w:r w:rsidRPr="00201598">
              <w:rPr>
                <w:rFonts w:ascii="Calibri" w:hAnsi="Calibri"/>
                <w:color w:val="000000"/>
                <w:sz w:val="22"/>
                <w:szCs w:val="22"/>
              </w:rPr>
              <w:t xml:space="preserve"> Central</w:t>
            </w:r>
          </w:p>
        </w:tc>
      </w:tr>
      <w:tr w:rsidR="00A127D5" w:rsidRPr="00201598" w:rsidTr="00A127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127D5" w:rsidRPr="00201598" w:rsidRDefault="00A127D5">
            <w:pPr>
              <w:jc w:val="right"/>
              <w:rPr>
                <w:rFonts w:ascii="Calibri" w:hAnsi="Calibri"/>
                <w:color w:val="000000"/>
                <w:sz w:val="22"/>
                <w:szCs w:val="22"/>
              </w:rPr>
            </w:pPr>
            <w:r w:rsidRPr="00201598">
              <w:rPr>
                <w:rFonts w:ascii="Calibri" w:hAnsi="Calibri"/>
                <w:color w:val="000000"/>
                <w:sz w:val="22"/>
                <w:szCs w:val="22"/>
              </w:rPr>
              <w:t>2014</w:t>
            </w:r>
          </w:p>
        </w:tc>
        <w:tc>
          <w:tcPr>
            <w:tcW w:w="960" w:type="dxa"/>
            <w:tcBorders>
              <w:top w:val="nil"/>
              <w:left w:val="nil"/>
              <w:bottom w:val="single" w:sz="4" w:space="0" w:color="auto"/>
              <w:right w:val="single" w:sz="4" w:space="0" w:color="auto"/>
            </w:tcBorders>
            <w:shd w:val="clear" w:color="auto" w:fill="auto"/>
            <w:noWrap/>
            <w:vAlign w:val="bottom"/>
            <w:hideMark/>
          </w:tcPr>
          <w:p w:rsidR="00A127D5" w:rsidRPr="00201598" w:rsidRDefault="00A127D5">
            <w:pPr>
              <w:jc w:val="right"/>
              <w:rPr>
                <w:rFonts w:ascii="Calibri" w:hAnsi="Calibri"/>
                <w:color w:val="000000"/>
                <w:sz w:val="22"/>
                <w:szCs w:val="22"/>
              </w:rPr>
            </w:pPr>
            <w:r w:rsidRPr="00201598">
              <w:rPr>
                <w:rFonts w:ascii="Calibri" w:hAnsi="Calibri"/>
                <w:color w:val="000000"/>
                <w:sz w:val="22"/>
                <w:szCs w:val="22"/>
              </w:rPr>
              <w:t>939394</w:t>
            </w:r>
          </w:p>
        </w:tc>
        <w:tc>
          <w:tcPr>
            <w:tcW w:w="960" w:type="dxa"/>
            <w:tcBorders>
              <w:top w:val="nil"/>
              <w:left w:val="nil"/>
              <w:bottom w:val="single" w:sz="4" w:space="0" w:color="auto"/>
              <w:right w:val="single" w:sz="4" w:space="0" w:color="auto"/>
            </w:tcBorders>
            <w:shd w:val="clear" w:color="auto" w:fill="auto"/>
            <w:noWrap/>
            <w:vAlign w:val="bottom"/>
            <w:hideMark/>
          </w:tcPr>
          <w:p w:rsidR="00A127D5" w:rsidRPr="00201598" w:rsidRDefault="00A127D5">
            <w:pPr>
              <w:jc w:val="right"/>
              <w:rPr>
                <w:rFonts w:ascii="Calibri" w:hAnsi="Calibri"/>
                <w:color w:val="000000"/>
                <w:sz w:val="22"/>
                <w:szCs w:val="22"/>
              </w:rPr>
            </w:pPr>
            <w:r w:rsidRPr="00201598">
              <w:rPr>
                <w:rFonts w:ascii="Calibri" w:hAnsi="Calibri"/>
                <w:color w:val="000000"/>
                <w:sz w:val="22"/>
                <w:szCs w:val="22"/>
              </w:rPr>
              <w:t>2563364</w:t>
            </w:r>
          </w:p>
        </w:tc>
        <w:tc>
          <w:tcPr>
            <w:tcW w:w="1960" w:type="dxa"/>
            <w:tcBorders>
              <w:top w:val="nil"/>
              <w:left w:val="nil"/>
              <w:bottom w:val="single" w:sz="4" w:space="0" w:color="auto"/>
              <w:right w:val="single" w:sz="4" w:space="0" w:color="auto"/>
            </w:tcBorders>
            <w:shd w:val="clear" w:color="auto" w:fill="auto"/>
            <w:noWrap/>
            <w:vAlign w:val="bottom"/>
            <w:hideMark/>
          </w:tcPr>
          <w:p w:rsidR="00A127D5" w:rsidRPr="00201598" w:rsidRDefault="00A127D5">
            <w:pPr>
              <w:rPr>
                <w:rFonts w:ascii="Calibri" w:hAnsi="Calibri"/>
                <w:color w:val="000000"/>
                <w:sz w:val="22"/>
                <w:szCs w:val="22"/>
              </w:rPr>
            </w:pPr>
            <w:r w:rsidRPr="00201598">
              <w:rPr>
                <w:rFonts w:ascii="Calibri" w:hAnsi="Calibri"/>
                <w:color w:val="000000"/>
                <w:sz w:val="22"/>
                <w:szCs w:val="22"/>
              </w:rPr>
              <w:t>Best Web</w:t>
            </w:r>
          </w:p>
        </w:tc>
        <w:tc>
          <w:tcPr>
            <w:tcW w:w="1960" w:type="dxa"/>
            <w:tcBorders>
              <w:top w:val="nil"/>
              <w:left w:val="nil"/>
              <w:bottom w:val="single" w:sz="4" w:space="0" w:color="auto"/>
              <w:right w:val="single" w:sz="4" w:space="0" w:color="auto"/>
            </w:tcBorders>
            <w:shd w:val="clear" w:color="auto" w:fill="auto"/>
            <w:noWrap/>
            <w:vAlign w:val="bottom"/>
            <w:hideMark/>
          </w:tcPr>
          <w:p w:rsidR="00A127D5" w:rsidRPr="00201598" w:rsidRDefault="00A127D5">
            <w:pPr>
              <w:rPr>
                <w:rFonts w:ascii="Calibri" w:hAnsi="Calibri"/>
                <w:color w:val="000000"/>
                <w:sz w:val="22"/>
                <w:szCs w:val="22"/>
              </w:rPr>
            </w:pPr>
            <w:r w:rsidRPr="00201598">
              <w:rPr>
                <w:rFonts w:ascii="Calibri" w:hAnsi="Calibri"/>
                <w:color w:val="000000"/>
                <w:sz w:val="22"/>
                <w:szCs w:val="22"/>
              </w:rPr>
              <w:t>Eastchester</w:t>
            </w:r>
          </w:p>
        </w:tc>
      </w:tr>
      <w:tr w:rsidR="00A127D5" w:rsidRPr="00201598" w:rsidTr="00A127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127D5" w:rsidRPr="00201598" w:rsidRDefault="00A127D5">
            <w:pPr>
              <w:jc w:val="right"/>
              <w:rPr>
                <w:rFonts w:ascii="Calibri" w:hAnsi="Calibri"/>
                <w:color w:val="000000"/>
                <w:sz w:val="22"/>
                <w:szCs w:val="22"/>
              </w:rPr>
            </w:pPr>
            <w:r w:rsidRPr="00201598">
              <w:rPr>
                <w:rFonts w:ascii="Calibri" w:hAnsi="Calibri"/>
                <w:color w:val="000000"/>
                <w:sz w:val="22"/>
                <w:szCs w:val="22"/>
              </w:rPr>
              <w:t>2014</w:t>
            </w:r>
          </w:p>
        </w:tc>
        <w:tc>
          <w:tcPr>
            <w:tcW w:w="960" w:type="dxa"/>
            <w:tcBorders>
              <w:top w:val="nil"/>
              <w:left w:val="nil"/>
              <w:bottom w:val="single" w:sz="4" w:space="0" w:color="auto"/>
              <w:right w:val="single" w:sz="4" w:space="0" w:color="auto"/>
            </w:tcBorders>
            <w:shd w:val="clear" w:color="auto" w:fill="auto"/>
            <w:noWrap/>
            <w:vAlign w:val="bottom"/>
            <w:hideMark/>
          </w:tcPr>
          <w:p w:rsidR="00A127D5" w:rsidRPr="00201598" w:rsidRDefault="00A127D5">
            <w:pPr>
              <w:jc w:val="right"/>
              <w:rPr>
                <w:rFonts w:ascii="Calibri" w:hAnsi="Calibri"/>
                <w:color w:val="000000"/>
                <w:sz w:val="22"/>
                <w:szCs w:val="22"/>
              </w:rPr>
            </w:pPr>
            <w:r w:rsidRPr="00201598">
              <w:rPr>
                <w:rFonts w:ascii="Calibri" w:hAnsi="Calibri"/>
                <w:color w:val="000000"/>
                <w:sz w:val="22"/>
                <w:szCs w:val="22"/>
              </w:rPr>
              <w:t>939398</w:t>
            </w:r>
          </w:p>
        </w:tc>
        <w:tc>
          <w:tcPr>
            <w:tcW w:w="960" w:type="dxa"/>
            <w:tcBorders>
              <w:top w:val="nil"/>
              <w:left w:val="nil"/>
              <w:bottom w:val="single" w:sz="4" w:space="0" w:color="auto"/>
              <w:right w:val="single" w:sz="4" w:space="0" w:color="auto"/>
            </w:tcBorders>
            <w:shd w:val="clear" w:color="auto" w:fill="auto"/>
            <w:noWrap/>
            <w:vAlign w:val="bottom"/>
            <w:hideMark/>
          </w:tcPr>
          <w:p w:rsidR="00A127D5" w:rsidRPr="00201598" w:rsidRDefault="00A127D5">
            <w:pPr>
              <w:jc w:val="right"/>
              <w:rPr>
                <w:rFonts w:ascii="Calibri" w:hAnsi="Calibri"/>
                <w:color w:val="000000"/>
                <w:sz w:val="22"/>
                <w:szCs w:val="22"/>
              </w:rPr>
            </w:pPr>
            <w:r w:rsidRPr="00201598">
              <w:rPr>
                <w:rFonts w:ascii="Calibri" w:hAnsi="Calibri"/>
                <w:color w:val="000000"/>
                <w:sz w:val="22"/>
                <w:szCs w:val="22"/>
              </w:rPr>
              <w:t>2563429</w:t>
            </w:r>
          </w:p>
        </w:tc>
        <w:tc>
          <w:tcPr>
            <w:tcW w:w="1960" w:type="dxa"/>
            <w:tcBorders>
              <w:top w:val="nil"/>
              <w:left w:val="nil"/>
              <w:bottom w:val="single" w:sz="4" w:space="0" w:color="auto"/>
              <w:right w:val="single" w:sz="4" w:space="0" w:color="auto"/>
            </w:tcBorders>
            <w:shd w:val="clear" w:color="auto" w:fill="auto"/>
            <w:noWrap/>
            <w:vAlign w:val="bottom"/>
            <w:hideMark/>
          </w:tcPr>
          <w:p w:rsidR="00A127D5" w:rsidRPr="00201598" w:rsidRDefault="00A127D5">
            <w:pPr>
              <w:rPr>
                <w:rFonts w:ascii="Calibri" w:hAnsi="Calibri"/>
                <w:color w:val="000000"/>
                <w:sz w:val="22"/>
                <w:szCs w:val="22"/>
              </w:rPr>
            </w:pPr>
            <w:r w:rsidRPr="00201598">
              <w:rPr>
                <w:rFonts w:ascii="Calibri" w:hAnsi="Calibri"/>
                <w:color w:val="000000"/>
                <w:sz w:val="22"/>
                <w:szCs w:val="22"/>
              </w:rPr>
              <w:t>Best Web</w:t>
            </w:r>
          </w:p>
        </w:tc>
        <w:tc>
          <w:tcPr>
            <w:tcW w:w="1960" w:type="dxa"/>
            <w:tcBorders>
              <w:top w:val="nil"/>
              <w:left w:val="nil"/>
              <w:bottom w:val="single" w:sz="4" w:space="0" w:color="auto"/>
              <w:right w:val="single" w:sz="4" w:space="0" w:color="auto"/>
            </w:tcBorders>
            <w:shd w:val="clear" w:color="auto" w:fill="auto"/>
            <w:noWrap/>
            <w:vAlign w:val="bottom"/>
            <w:hideMark/>
          </w:tcPr>
          <w:p w:rsidR="00A127D5" w:rsidRPr="00201598" w:rsidRDefault="00A127D5">
            <w:pPr>
              <w:rPr>
                <w:rFonts w:ascii="Calibri" w:hAnsi="Calibri"/>
                <w:color w:val="000000"/>
                <w:sz w:val="22"/>
                <w:szCs w:val="22"/>
              </w:rPr>
            </w:pPr>
            <w:proofErr w:type="spellStart"/>
            <w:r w:rsidRPr="00201598">
              <w:rPr>
                <w:rFonts w:ascii="Calibri" w:hAnsi="Calibri"/>
                <w:color w:val="000000"/>
                <w:sz w:val="22"/>
                <w:szCs w:val="22"/>
              </w:rPr>
              <w:t>Greenburgh</w:t>
            </w:r>
            <w:proofErr w:type="spellEnd"/>
            <w:r w:rsidRPr="00201598">
              <w:rPr>
                <w:rFonts w:ascii="Calibri" w:hAnsi="Calibri"/>
                <w:color w:val="000000"/>
                <w:sz w:val="22"/>
                <w:szCs w:val="22"/>
              </w:rPr>
              <w:t xml:space="preserve"> Central</w:t>
            </w:r>
          </w:p>
        </w:tc>
      </w:tr>
    </w:tbl>
    <w:p w:rsidR="00745B4E" w:rsidRPr="00201598" w:rsidRDefault="00745B4E" w:rsidP="0022569E"/>
    <w:p w:rsidR="00DC7E7F" w:rsidRPr="00201598" w:rsidRDefault="00DC7E7F"/>
    <w:p w:rsidR="00745B4E" w:rsidRPr="00201598" w:rsidRDefault="00745B4E">
      <w:pPr>
        <w:rPr>
          <w:b/>
          <w:u w:val="single"/>
        </w:rPr>
      </w:pPr>
    </w:p>
    <w:p w:rsidR="00715B92" w:rsidRPr="00201598" w:rsidRDefault="00715B92">
      <w:pPr>
        <w:rPr>
          <w:b/>
          <w:u w:val="single"/>
        </w:rPr>
      </w:pPr>
      <w:r w:rsidRPr="00201598">
        <w:rPr>
          <w:b/>
          <w:u w:val="single"/>
        </w:rPr>
        <w:t>Appeal Summary</w:t>
      </w:r>
    </w:p>
    <w:p w:rsidR="00715B92" w:rsidRPr="00201598" w:rsidRDefault="00715B92"/>
    <w:p w:rsidR="00DC7E7F" w:rsidRPr="00201598" w:rsidRDefault="00715B92">
      <w:r w:rsidRPr="00201598">
        <w:t>The denial reasons for all of these FRNs are grossly incorrect</w:t>
      </w:r>
      <w:r w:rsidR="006E6302" w:rsidRPr="00201598">
        <w:t xml:space="preserve">. The EPC portal has failed to provide the platform </w:t>
      </w:r>
      <w:r w:rsidR="004B072A" w:rsidRPr="00201598">
        <w:t>required</w:t>
      </w:r>
      <w:r w:rsidR="006E6302" w:rsidRPr="00201598">
        <w:t xml:space="preserve"> t</w:t>
      </w:r>
      <w:r w:rsidR="004B072A" w:rsidRPr="00201598">
        <w:t>o properly rev</w:t>
      </w:r>
      <w:r w:rsidR="00846029" w:rsidRPr="00201598">
        <w:t>iew and evaluate the FRNs for full E-rate funding.</w:t>
      </w:r>
      <w:r w:rsidR="004B072A" w:rsidRPr="00201598">
        <w:t xml:space="preserve"> </w:t>
      </w:r>
    </w:p>
    <w:p w:rsidR="00715B92" w:rsidRPr="00201598" w:rsidRDefault="00715B92"/>
    <w:p w:rsidR="00DC7E7F" w:rsidRPr="00201598" w:rsidRDefault="00DC7E7F">
      <w:r w:rsidRPr="00201598">
        <w:t>The denials are grossly incorrect for the following reasons:</w:t>
      </w:r>
    </w:p>
    <w:p w:rsidR="00DC7E7F" w:rsidRPr="00201598" w:rsidRDefault="00DC7E7F"/>
    <w:p w:rsidR="00715B92" w:rsidRPr="00201598" w:rsidRDefault="00715B92" w:rsidP="00DC7E7F">
      <w:pPr>
        <w:pStyle w:val="ListParagraph"/>
        <w:numPr>
          <w:ilvl w:val="0"/>
          <w:numId w:val="1"/>
        </w:numPr>
      </w:pPr>
      <w:r w:rsidRPr="00201598">
        <w:t>The selective reviews were issued under</w:t>
      </w:r>
      <w:r w:rsidR="006E6302" w:rsidRPr="00201598">
        <w:t xml:space="preserve"> multiple 471s </w:t>
      </w:r>
      <w:r w:rsidR="004B072A" w:rsidRPr="00201598">
        <w:t xml:space="preserve">under BEN 123677 for Southern Westchester BOCES </w:t>
      </w:r>
      <w:r w:rsidR="006E6302" w:rsidRPr="00201598">
        <w:t xml:space="preserve">in </w:t>
      </w:r>
      <w:r w:rsidR="00B454E7" w:rsidRPr="00201598">
        <w:t xml:space="preserve">the </w:t>
      </w:r>
      <w:r w:rsidR="006E6302" w:rsidRPr="00201598">
        <w:t>EPC</w:t>
      </w:r>
      <w:r w:rsidR="00B454E7" w:rsidRPr="00201598">
        <w:t xml:space="preserve"> portal</w:t>
      </w:r>
      <w:r w:rsidR="006E6302" w:rsidRPr="00201598">
        <w:t>. This means specific questions for specific 471s were not issued under their actual application numbers,</w:t>
      </w:r>
      <w:r w:rsidR="004B072A" w:rsidRPr="00201598">
        <w:t xml:space="preserve"> rather, their own individual 471 request.</w:t>
      </w:r>
      <w:r w:rsidR="00C1508E" w:rsidRPr="00201598">
        <w:t xml:space="preserve"> </w:t>
      </w:r>
      <w:r w:rsidR="004B072A" w:rsidRPr="00201598">
        <w:t>However, the follow up questions issued were issued under their individual 471s</w:t>
      </w:r>
      <w:r w:rsidR="006E6302" w:rsidRPr="00201598">
        <w:t xml:space="preserve">. </w:t>
      </w:r>
      <w:r w:rsidR="004B072A" w:rsidRPr="00201598">
        <w:t>This made responding to these requests extremely difficult. As a result, t</w:t>
      </w:r>
      <w:r w:rsidR="006E6302" w:rsidRPr="00201598">
        <w:t>he lack of consistency leaves</w:t>
      </w:r>
      <w:r w:rsidRPr="00201598">
        <w:t xml:space="preserve"> no visible trail between </w:t>
      </w:r>
      <w:r w:rsidR="00B454E7" w:rsidRPr="00201598">
        <w:t>applicant</w:t>
      </w:r>
      <w:r w:rsidRPr="00201598">
        <w:t xml:space="preserve"> uploads </w:t>
      </w:r>
      <w:r w:rsidR="004B072A" w:rsidRPr="00201598">
        <w:t xml:space="preserve">and USAC questions </w:t>
      </w:r>
      <w:r w:rsidRPr="00201598">
        <w:t>during</w:t>
      </w:r>
      <w:r w:rsidR="004B072A" w:rsidRPr="00201598">
        <w:t xml:space="preserve"> the</w:t>
      </w:r>
      <w:r w:rsidRPr="00201598">
        <w:t xml:space="preserve"> PIA</w:t>
      </w:r>
      <w:r w:rsidR="004B072A" w:rsidRPr="00201598">
        <w:t xml:space="preserve"> and Selective </w:t>
      </w:r>
      <w:r w:rsidR="00B454E7" w:rsidRPr="00201598">
        <w:t>R</w:t>
      </w:r>
      <w:r w:rsidR="004B072A" w:rsidRPr="00201598">
        <w:t>eview</w:t>
      </w:r>
      <w:r w:rsidRPr="00201598">
        <w:t xml:space="preserve"> </w:t>
      </w:r>
      <w:r w:rsidR="004B072A" w:rsidRPr="00201598">
        <w:t>which led to</w:t>
      </w:r>
      <w:r w:rsidRPr="00201598">
        <w:t xml:space="preserve"> USAC </w:t>
      </w:r>
      <w:r w:rsidR="004B072A" w:rsidRPr="00201598">
        <w:t xml:space="preserve">making the </w:t>
      </w:r>
      <w:r w:rsidR="00B12ADA" w:rsidRPr="00201598">
        <w:t>incorrect determination to deny these FRNs.</w:t>
      </w:r>
    </w:p>
    <w:p w:rsidR="00DC7E7F" w:rsidRPr="00201598" w:rsidRDefault="00DC7E7F" w:rsidP="00715B92">
      <w:pPr>
        <w:pStyle w:val="ListParagraph"/>
        <w:ind w:left="1080"/>
      </w:pPr>
    </w:p>
    <w:p w:rsidR="00957E90" w:rsidRPr="00201598" w:rsidRDefault="00957E90" w:rsidP="00957E90">
      <w:pPr>
        <w:pStyle w:val="ListParagraph"/>
        <w:numPr>
          <w:ilvl w:val="0"/>
          <w:numId w:val="1"/>
        </w:numPr>
      </w:pPr>
      <w:r w:rsidRPr="00201598">
        <w:t xml:space="preserve">The EPC upload function is </w:t>
      </w:r>
      <w:r w:rsidR="004B072A" w:rsidRPr="00201598">
        <w:t xml:space="preserve">known to us to be </w:t>
      </w:r>
      <w:r w:rsidRPr="00201598">
        <w:t>prone to errors that create</w:t>
      </w:r>
      <w:r w:rsidR="004B072A" w:rsidRPr="00201598">
        <w:t>d</w:t>
      </w:r>
      <w:r w:rsidRPr="00201598">
        <w:t xml:space="preserve"> incomplete submissions. We uploaded documentation at least 8 times and the attachments are present but are either incomplete or do not load upon clicking </w:t>
      </w:r>
      <w:r w:rsidRPr="00201598">
        <w:lastRenderedPageBreak/>
        <w:t>them</w:t>
      </w:r>
      <w:r w:rsidR="00B454E7" w:rsidRPr="00201598">
        <w:t xml:space="preserve"> due to errors within the EPC portal</w:t>
      </w:r>
      <w:r w:rsidRPr="00201598">
        <w:t xml:space="preserve">. </w:t>
      </w:r>
      <w:r w:rsidR="004B072A" w:rsidRPr="00201598">
        <w:t xml:space="preserve">There was no notification </w:t>
      </w:r>
      <w:r w:rsidRPr="00201598">
        <w:t xml:space="preserve">given </w:t>
      </w:r>
      <w:r w:rsidR="004B072A" w:rsidRPr="00201598">
        <w:t xml:space="preserve">to us that the uploads </w:t>
      </w:r>
      <w:r w:rsidR="00B454E7" w:rsidRPr="00201598">
        <w:t xml:space="preserve">had </w:t>
      </w:r>
      <w:r w:rsidR="004B072A" w:rsidRPr="00201598">
        <w:t>failed.</w:t>
      </w:r>
      <w:r w:rsidRPr="00201598">
        <w:t xml:space="preserve"> </w:t>
      </w:r>
      <w:r w:rsidR="004B072A" w:rsidRPr="00201598">
        <w:t xml:space="preserve">USAC than issued </w:t>
      </w:r>
      <w:r w:rsidRPr="00201598">
        <w:t>denials were sent out based on these</w:t>
      </w:r>
      <w:r w:rsidR="004B072A" w:rsidRPr="00201598">
        <w:t xml:space="preserve"> failed upload</w:t>
      </w:r>
      <w:r w:rsidRPr="00201598">
        <w:t xml:space="preserve"> submissions. We also reached out </w:t>
      </w:r>
      <w:r w:rsidR="00B454E7" w:rsidRPr="00201598">
        <w:t xml:space="preserve">to USAC </w:t>
      </w:r>
      <w:r w:rsidRPr="00201598">
        <w:t xml:space="preserve">with every response to ensure </w:t>
      </w:r>
      <w:r w:rsidR="004B072A" w:rsidRPr="00201598">
        <w:t>all document</w:t>
      </w:r>
      <w:r w:rsidR="00846029" w:rsidRPr="00201598">
        <w:t>ation was received and that USAC</w:t>
      </w:r>
      <w:r w:rsidR="004B072A" w:rsidRPr="00201598">
        <w:t xml:space="preserve"> confirm</w:t>
      </w:r>
      <w:r w:rsidR="00846029" w:rsidRPr="00201598">
        <w:t>ed</w:t>
      </w:r>
      <w:r w:rsidR="004B072A" w:rsidRPr="00201598">
        <w:t xml:space="preserve"> receipt. USAC did not respond</w:t>
      </w:r>
      <w:r w:rsidRPr="00201598">
        <w:t xml:space="preserve"> to let us kn</w:t>
      </w:r>
      <w:r w:rsidR="004B072A" w:rsidRPr="00201598">
        <w:t>ow if anything further was</w:t>
      </w:r>
      <w:r w:rsidR="00846029" w:rsidRPr="00201598">
        <w:t xml:space="preserve"> needed to complete the review even though we asked several times. </w:t>
      </w:r>
    </w:p>
    <w:p w:rsidR="00B94D74" w:rsidRPr="00201598" w:rsidRDefault="00B94D74" w:rsidP="00B94D74"/>
    <w:p w:rsidR="00B94D74" w:rsidRPr="00201598" w:rsidRDefault="00E840E6" w:rsidP="00B94D74">
      <w:pPr>
        <w:rPr>
          <w:b/>
          <w:u w:val="single"/>
        </w:rPr>
      </w:pPr>
      <w:r w:rsidRPr="00201598">
        <w:rPr>
          <w:b/>
          <w:u w:val="single"/>
        </w:rPr>
        <w:t xml:space="preserve">Issues with </w:t>
      </w:r>
      <w:r w:rsidR="008E52FD" w:rsidRPr="00201598">
        <w:rPr>
          <w:b/>
          <w:u w:val="single"/>
        </w:rPr>
        <w:t>SWB PIA and Selective Review Processes</w:t>
      </w:r>
    </w:p>
    <w:p w:rsidR="00DC7E7F" w:rsidRPr="00201598" w:rsidRDefault="00DC7E7F" w:rsidP="00DC7E7F"/>
    <w:p w:rsidR="00E840E6" w:rsidRPr="00201598" w:rsidRDefault="00E840E6" w:rsidP="00DC7E7F">
      <w:r w:rsidRPr="00201598">
        <w:t xml:space="preserve">It is clear there </w:t>
      </w:r>
      <w:r w:rsidR="00771AA5" w:rsidRPr="00201598">
        <w:t>have been major issues</w:t>
      </w:r>
      <w:r w:rsidRPr="00201598">
        <w:t xml:space="preserve"> with the</w:t>
      </w:r>
      <w:r w:rsidR="00771AA5" w:rsidRPr="00201598">
        <w:t xml:space="preserve"> EPC</w:t>
      </w:r>
      <w:r w:rsidRPr="00201598">
        <w:t xml:space="preserve"> PIA table and the upload </w:t>
      </w:r>
      <w:r w:rsidR="00771AA5" w:rsidRPr="00201598">
        <w:t xml:space="preserve">documentation </w:t>
      </w:r>
      <w:r w:rsidRPr="00201598">
        <w:t>function in EPC</w:t>
      </w:r>
      <w:r w:rsidR="004B072A" w:rsidRPr="00201598">
        <w:t xml:space="preserve"> from our experience</w:t>
      </w:r>
      <w:r w:rsidRPr="00201598">
        <w:t xml:space="preserve">. </w:t>
      </w:r>
      <w:r w:rsidR="00957E90" w:rsidRPr="00201598">
        <w:t>EPC only allows reviews to occur under one form 471, and so EPC has demonstrated it is not an adequate</w:t>
      </w:r>
      <w:r w:rsidR="00CA2171" w:rsidRPr="00201598">
        <w:t xml:space="preserve"> tool</w:t>
      </w:r>
      <w:r w:rsidR="00957E90" w:rsidRPr="00201598">
        <w:t xml:space="preserve"> to address the review of multiple 471s</w:t>
      </w:r>
      <w:r w:rsidR="00CA2171" w:rsidRPr="00201598">
        <w:t xml:space="preserve"> in one request</w:t>
      </w:r>
      <w:r w:rsidR="000B0342" w:rsidRPr="00201598">
        <w:t>. By attempting</w:t>
      </w:r>
      <w:r w:rsidR="008E5DF0" w:rsidRPr="00201598">
        <w:t xml:space="preserve"> to include the review of many </w:t>
      </w:r>
      <w:r w:rsidR="000B0342" w:rsidRPr="00201598">
        <w:t xml:space="preserve">applications, under this one application in EPC, </w:t>
      </w:r>
      <w:r w:rsidR="008E5DF0" w:rsidRPr="00201598">
        <w:t>USAC inadvertently created a situation which led to the denials of these funding requests.</w:t>
      </w:r>
    </w:p>
    <w:p w:rsidR="00957E90" w:rsidRPr="00201598" w:rsidRDefault="00957E90" w:rsidP="00DC7E7F"/>
    <w:p w:rsidR="000B0342" w:rsidRPr="00201598" w:rsidRDefault="00E840E6" w:rsidP="00DC7E7F">
      <w:r w:rsidRPr="00201598">
        <w:t>The iss</w:t>
      </w:r>
      <w:r w:rsidR="00FC6117" w:rsidRPr="00201598">
        <w:t>uance of the selective review was</w:t>
      </w:r>
      <w:r w:rsidRPr="00201598">
        <w:t xml:space="preserve"> messy, at best, by USAC</w:t>
      </w:r>
      <w:r w:rsidR="00771AA5" w:rsidRPr="00201598">
        <w:t xml:space="preserve"> reviewers</w:t>
      </w:r>
      <w:r w:rsidR="000B0342" w:rsidRPr="00201598">
        <w:t xml:space="preserve"> and it is due </w:t>
      </w:r>
      <w:r w:rsidR="008E5DF0" w:rsidRPr="00201598">
        <w:t xml:space="preserve">to </w:t>
      </w:r>
      <w:r w:rsidR="000B0342" w:rsidRPr="00201598">
        <w:t>EPCs structural limitations noted above</w:t>
      </w:r>
      <w:r w:rsidRPr="00201598">
        <w:t xml:space="preserve">. </w:t>
      </w:r>
      <w:r w:rsidR="000B0342" w:rsidRPr="00201598">
        <w:t>It is</w:t>
      </w:r>
      <w:r w:rsidR="000403F4" w:rsidRPr="00201598">
        <w:t xml:space="preserve"> unclear in EPC where the Selective Review began. </w:t>
      </w:r>
      <w:r w:rsidR="000B0342" w:rsidRPr="00201598">
        <w:t xml:space="preserve">There is no original issuance of the review. </w:t>
      </w:r>
      <w:r w:rsidR="000403F4" w:rsidRPr="00201598">
        <w:t>There is</w:t>
      </w:r>
      <w:r w:rsidR="000B0342" w:rsidRPr="00201598">
        <w:t xml:space="preserve"> also</w:t>
      </w:r>
      <w:r w:rsidR="000403F4" w:rsidRPr="00201598">
        <w:t xml:space="preserve"> no single place in EPC that all of the selective review responses and questions are located. USAC outreach dated 11/14 under App# 161003040 </w:t>
      </w:r>
      <w:r w:rsidR="000B0342" w:rsidRPr="00201598">
        <w:t>is the first</w:t>
      </w:r>
      <w:r w:rsidR="000403F4" w:rsidRPr="00201598">
        <w:t xml:space="preserve"> Selective Review </w:t>
      </w:r>
      <w:r w:rsidR="000B0342" w:rsidRPr="00201598">
        <w:t xml:space="preserve">issuance, but it is labeled as </w:t>
      </w:r>
      <w:r w:rsidR="000403F4" w:rsidRPr="00201598">
        <w:t xml:space="preserve">follow up by </w:t>
      </w:r>
      <w:r w:rsidR="000B0342" w:rsidRPr="00201598">
        <w:t>USAC and claims items are missing from a response. However, the original req</w:t>
      </w:r>
      <w:r w:rsidR="008E5DF0" w:rsidRPr="00201598">
        <w:t xml:space="preserve">uest and submission is missing. This could mean there are </w:t>
      </w:r>
      <w:r w:rsidR="000B0342" w:rsidRPr="00201598">
        <w:t>possibly other questions and response</w:t>
      </w:r>
      <w:r w:rsidR="008E5DF0" w:rsidRPr="00201598">
        <w:t>s missing. There is no way</w:t>
      </w:r>
      <w:r w:rsidR="000B0342" w:rsidRPr="00201598">
        <w:t xml:space="preserve"> to know for sure what was requested and was supplied. This makes it impossible to know if USAC’s determination of what </w:t>
      </w:r>
      <w:r w:rsidR="008E5DF0" w:rsidRPr="00201598">
        <w:t xml:space="preserve">was originally </w:t>
      </w:r>
      <w:r w:rsidR="000B0342" w:rsidRPr="00201598">
        <w:t>u</w:t>
      </w:r>
      <w:r w:rsidR="004B072A" w:rsidRPr="00201598">
        <w:t>ploaded is correct.</w:t>
      </w:r>
    </w:p>
    <w:p w:rsidR="000403F4" w:rsidRPr="00201598" w:rsidRDefault="000403F4" w:rsidP="00DC7E7F"/>
    <w:p w:rsidR="008E5DF0" w:rsidRPr="00201598" w:rsidRDefault="008E5DF0" w:rsidP="00532992">
      <w:r w:rsidRPr="00201598">
        <w:t xml:space="preserve">To add </w:t>
      </w:r>
      <w:r w:rsidR="006200B5" w:rsidRPr="00201598">
        <w:t xml:space="preserve">chaos </w:t>
      </w:r>
      <w:r w:rsidRPr="00201598">
        <w:t>to the confusion,</w:t>
      </w:r>
      <w:r w:rsidR="00FC6117" w:rsidRPr="00201598">
        <w:t xml:space="preserve"> </w:t>
      </w:r>
      <w:r w:rsidRPr="00201598">
        <w:t>w</w:t>
      </w:r>
      <w:r w:rsidR="00B6042A" w:rsidRPr="00201598">
        <w:t xml:space="preserve">e also see that </w:t>
      </w:r>
      <w:r w:rsidR="00B009C4" w:rsidRPr="00201598">
        <w:t>USAC</w:t>
      </w:r>
      <w:r w:rsidR="00B454E7" w:rsidRPr="00201598">
        <w:t>’s</w:t>
      </w:r>
      <w:r w:rsidR="00B009C4" w:rsidRPr="00201598">
        <w:t xml:space="preserve"> o</w:t>
      </w:r>
      <w:r w:rsidR="00532992" w:rsidRPr="00201598">
        <w:t xml:space="preserve">utreach </w:t>
      </w:r>
      <w:r w:rsidR="00B009C4" w:rsidRPr="00201598">
        <w:t xml:space="preserve">listed </w:t>
      </w:r>
      <w:r w:rsidR="00B6042A" w:rsidRPr="00201598">
        <w:t xml:space="preserve">under 471# 161003040 </w:t>
      </w:r>
      <w:r w:rsidR="00532992" w:rsidRPr="00201598">
        <w:t xml:space="preserve">dated 12/8/16 labeled “Incomplete response reminder” has an answered date of 10/26/16 and an assigned date of 12/8/16. The system shows it was answered before it was issued. </w:t>
      </w:r>
      <w:r w:rsidRPr="00201598">
        <w:t>Even worse, the denial notifications issued afterwards are dated 12/13/2013. The 15 day response time had not even expired before denials were issued.</w:t>
      </w:r>
    </w:p>
    <w:p w:rsidR="008E5DF0" w:rsidRPr="00201598" w:rsidRDefault="008E5DF0" w:rsidP="00532992"/>
    <w:p w:rsidR="008E5DF0" w:rsidRPr="00B454E7" w:rsidRDefault="00B6042A" w:rsidP="00B6042A">
      <w:r w:rsidRPr="00201598">
        <w:t xml:space="preserve">This begins to </w:t>
      </w:r>
      <w:r w:rsidR="008E5DF0" w:rsidRPr="00201598">
        <w:t>paint a picture</w:t>
      </w:r>
      <w:r w:rsidR="008E5DF0" w:rsidRPr="00B454E7">
        <w:t xml:space="preserve"> of</w:t>
      </w:r>
      <w:r w:rsidRPr="00B454E7">
        <w:t xml:space="preserve"> </w:t>
      </w:r>
      <w:r w:rsidR="006200B5" w:rsidRPr="00B454E7">
        <w:t>carelessness</w:t>
      </w:r>
      <w:r w:rsidRPr="00B454E7">
        <w:t xml:space="preserve">. </w:t>
      </w:r>
      <w:r w:rsidR="008E5DF0" w:rsidRPr="00B454E7">
        <w:t>Applications are being denied before the response time has expired, t</w:t>
      </w:r>
      <w:r w:rsidRPr="00B454E7">
        <w:t xml:space="preserve">here is no clear line of documentation requests, submission, and </w:t>
      </w:r>
      <w:r w:rsidR="008E5DF0" w:rsidRPr="00B454E7">
        <w:t>USAC outreach and response</w:t>
      </w:r>
      <w:r w:rsidR="006200B5" w:rsidRPr="00B454E7">
        <w:t>s</w:t>
      </w:r>
      <w:r w:rsidR="008E5DF0" w:rsidRPr="00B454E7">
        <w:t xml:space="preserve"> </w:t>
      </w:r>
      <w:r w:rsidR="006200B5" w:rsidRPr="00B454E7">
        <w:t>are</w:t>
      </w:r>
      <w:r w:rsidR="008E5DF0" w:rsidRPr="00B454E7">
        <w:t xml:space="preserve"> missing from the EPC PIA table.</w:t>
      </w:r>
      <w:r w:rsidR="006200B5" w:rsidRPr="00B454E7">
        <w:t xml:space="preserve"> </w:t>
      </w:r>
    </w:p>
    <w:p w:rsidR="006200B5" w:rsidRPr="00B454E7" w:rsidRDefault="006200B5" w:rsidP="00B6042A"/>
    <w:p w:rsidR="00B6042A" w:rsidRPr="00B454E7" w:rsidRDefault="00B6042A" w:rsidP="00B6042A">
      <w:r w:rsidRPr="00B454E7">
        <w:t>USAC has tried to conduct a massive review with a tool that is not capable of handling such a large request. We have never seen a review of any size conducted in this manner, let alone such a large one. Not enough care was given by the</w:t>
      </w:r>
      <w:r w:rsidR="00B454E7">
        <w:t xml:space="preserve"> USAC</w:t>
      </w:r>
      <w:r w:rsidRPr="00B454E7">
        <w:t xml:space="preserve"> reviewers on how they issued and reviewed these applications.</w:t>
      </w:r>
      <w:r w:rsidR="003646D5" w:rsidRPr="00B454E7">
        <w:t xml:space="preserve"> </w:t>
      </w:r>
      <w:r w:rsidRPr="00B454E7">
        <w:t xml:space="preserve">It became easy to deny these FRNs when the picture became very unclear, but it was </w:t>
      </w:r>
      <w:r w:rsidR="006200B5" w:rsidRPr="00B454E7">
        <w:t xml:space="preserve">the process that </w:t>
      </w:r>
      <w:r w:rsidRPr="00B454E7">
        <w:t xml:space="preserve">USAC reviewers </w:t>
      </w:r>
      <w:r w:rsidR="003646D5" w:rsidRPr="00B454E7">
        <w:t>implement</w:t>
      </w:r>
      <w:r w:rsidR="006200B5" w:rsidRPr="00B454E7">
        <w:t>ed</w:t>
      </w:r>
      <w:r w:rsidR="003646D5" w:rsidRPr="00B454E7">
        <w:t xml:space="preserve"> that created this confusion. </w:t>
      </w:r>
      <w:r w:rsidR="006200B5" w:rsidRPr="00B454E7">
        <w:t xml:space="preserve">: </w:t>
      </w:r>
      <w:r w:rsidR="003646D5" w:rsidRPr="00B454E7">
        <w:t>All of the attached documentation will demonstrate very clearly that all the information that is needed is available.</w:t>
      </w:r>
      <w:r w:rsidRPr="00B454E7">
        <w:t xml:space="preserve"> </w:t>
      </w:r>
      <w:r w:rsidR="009575B3" w:rsidRPr="00B454E7">
        <w:t xml:space="preserve">The denial reasons </w:t>
      </w:r>
      <w:r w:rsidR="00B454E7">
        <w:t>that claim</w:t>
      </w:r>
      <w:r w:rsidR="009575B3" w:rsidRPr="00B454E7">
        <w:t xml:space="preserve"> the documentation had not been kept on file, vendor evaluations not completed or consistent, and that full bid copies were not available are completely incorrect.</w:t>
      </w:r>
    </w:p>
    <w:p w:rsidR="00B6042A" w:rsidRPr="00B454E7" w:rsidRDefault="00B6042A" w:rsidP="00532992"/>
    <w:p w:rsidR="000C07C7" w:rsidRPr="00B454E7" w:rsidRDefault="000C07C7" w:rsidP="00532992"/>
    <w:p w:rsidR="00B94D74" w:rsidRPr="00B454E7" w:rsidRDefault="00B94D74" w:rsidP="00DC7E7F">
      <w:r w:rsidRPr="00B454E7">
        <w:t>It has been the consultants experie</w:t>
      </w:r>
      <w:r w:rsidR="00B454E7">
        <w:t>nce with this Billed Entity</w:t>
      </w:r>
      <w:r w:rsidRPr="00B454E7">
        <w:t xml:space="preserve"> in particular that USAC will work through any and all PIA requests in the best interest of the applicant to make sure all documentation is in place in order to fund these applications. The proof is in the funding approvals where these FRNs began between funding year 2012 and funding year 2015. The previous year’s funding request had met the criteria for approval and they were filed for in exactly the same manner in funding year 2016, only to be denied. The application review process for FY 2016 was inconsistent with the previous </w:t>
      </w:r>
      <w:r w:rsidR="00532992" w:rsidRPr="00B454E7">
        <w:t>approvals that</w:t>
      </w:r>
      <w:r w:rsidRPr="00B454E7">
        <w:t xml:space="preserve"> were based on the very same documentation.</w:t>
      </w:r>
    </w:p>
    <w:p w:rsidR="00B94D74" w:rsidRDefault="00B94D74" w:rsidP="00DC7E7F"/>
    <w:p w:rsidR="007C3172" w:rsidRPr="00201598" w:rsidRDefault="007C3172" w:rsidP="00DC7E7F">
      <w:pPr>
        <w:rPr>
          <w:b/>
          <w:u w:val="single"/>
        </w:rPr>
      </w:pPr>
      <w:r w:rsidRPr="00201598">
        <w:rPr>
          <w:b/>
          <w:u w:val="single"/>
        </w:rPr>
        <w:t>This Appeal Must Be Overturned</w:t>
      </w:r>
    </w:p>
    <w:p w:rsidR="00B94D74" w:rsidRPr="00B454E7" w:rsidRDefault="00B94D74" w:rsidP="00DC7E7F"/>
    <w:p w:rsidR="00846029" w:rsidRPr="00B454E7" w:rsidRDefault="00645A13" w:rsidP="00DC7E7F">
      <w:r w:rsidRPr="00B454E7">
        <w:t>It is now important</w:t>
      </w:r>
      <w:r w:rsidR="00846029" w:rsidRPr="00B454E7">
        <w:t xml:space="preserve"> to demonstrate that all of the documentation USAC needs</w:t>
      </w:r>
      <w:r w:rsidR="009D4D6B">
        <w:t xml:space="preserve"> to overturn the denial reasons. </w:t>
      </w:r>
      <w:r w:rsidR="00846029" w:rsidRPr="00B454E7">
        <w:t xml:space="preserve">We have carefully collated every bid, vendor evaluation, </w:t>
      </w:r>
      <w:r w:rsidRPr="00B454E7">
        <w:t>and signed agreement for each denied FRN. This will clearly show that not only has all the documentation been kept on file, but that every FRN has gone through an intensive selection process that upholds the integrity of these applications. It is disappointing to have to go through the appeals process to fund FRNs that have been fully funded by USAC when all needed documentation is in place. Many of these FRNs are continuations from previous years and have been consistently funded since their inception FRNs. In any event, the below summary, attached detailed spreadsheet of bidding information, and copies of all bids and vendor evaluations will dispel all denials so that these requests are funded in full.</w:t>
      </w:r>
    </w:p>
    <w:p w:rsidR="00645A13" w:rsidRPr="00B454E7" w:rsidRDefault="00645A13" w:rsidP="00DC7E7F"/>
    <w:p w:rsidR="000C07C7" w:rsidRPr="00B454E7" w:rsidRDefault="00715B92" w:rsidP="00DC7E7F">
      <w:pPr>
        <w:rPr>
          <w:b/>
          <w:u w:val="single"/>
        </w:rPr>
      </w:pPr>
      <w:r w:rsidRPr="00B454E7">
        <w:rPr>
          <w:b/>
          <w:u w:val="single"/>
        </w:rPr>
        <w:t>FRN Summary of Appeals</w:t>
      </w:r>
    </w:p>
    <w:p w:rsidR="00EA18F1" w:rsidRPr="00B454E7" w:rsidRDefault="00EA18F1" w:rsidP="00DC7E7F"/>
    <w:p w:rsidR="00B12ADA" w:rsidRPr="00B454E7" w:rsidRDefault="00B12ADA" w:rsidP="00DC7E7F"/>
    <w:p w:rsidR="00EA18F1" w:rsidRPr="00B454E7" w:rsidRDefault="00EA18F1" w:rsidP="00DC7E7F">
      <w:r w:rsidRPr="00B454E7">
        <w:t xml:space="preserve">Awards for the </w:t>
      </w:r>
      <w:r w:rsidR="00A127D5">
        <w:t xml:space="preserve">denied FRNs brought forth in the received denials </w:t>
      </w:r>
      <w:r w:rsidR="009D4D6B">
        <w:t>letters</w:t>
      </w:r>
      <w:r w:rsidR="00A127D5">
        <w:t xml:space="preserve"> are listed </w:t>
      </w:r>
      <w:r w:rsidRPr="00B454E7">
        <w:t>below were a result of the Funding 2012 Form 470# 543120000935124</w:t>
      </w:r>
      <w:r w:rsidR="009D4D6B" w:rsidRPr="00201598">
        <w:t>.</w:t>
      </w:r>
      <w:r w:rsidR="009D4D6B">
        <w:t xml:space="preserve"> </w:t>
      </w:r>
      <w:proofErr w:type="spellStart"/>
      <w:r w:rsidR="009D4D6B">
        <w:t>Bestweb</w:t>
      </w:r>
      <w:proofErr w:type="spellEnd"/>
      <w:r w:rsidR="009D4D6B">
        <w:t>,</w:t>
      </w:r>
      <w:r w:rsidRPr="00B454E7">
        <w:t xml:space="preserve"> </w:t>
      </w:r>
      <w:proofErr w:type="spellStart"/>
      <w:r w:rsidRPr="00B454E7">
        <w:t>Lightower</w:t>
      </w:r>
      <w:proofErr w:type="spellEnd"/>
      <w:r w:rsidR="009D4D6B">
        <w:t>, and Windstream</w:t>
      </w:r>
      <w:r w:rsidRPr="00B454E7">
        <w:t xml:space="preserve"> submitted bids, and Bestweb was clearly the most effective choice for both </w:t>
      </w:r>
      <w:r w:rsidR="009D4D6B">
        <w:t>all FRNs:</w:t>
      </w:r>
    </w:p>
    <w:p w:rsidR="00715B92" w:rsidRPr="00B454E7" w:rsidRDefault="00715B92" w:rsidP="00DC7E7F"/>
    <w:p w:rsidR="00BB6968" w:rsidRPr="00B454E7" w:rsidRDefault="00BB6968" w:rsidP="00EA18F1"/>
    <w:p w:rsidR="00EA18F1" w:rsidRPr="00B454E7" w:rsidRDefault="00EB5122" w:rsidP="00EA18F1">
      <w:r w:rsidRPr="00B454E7">
        <w:rPr>
          <w:noProof/>
        </w:rPr>
        <w:drawing>
          <wp:inline distT="0" distB="0" distL="0" distR="0" wp14:anchorId="4406C317" wp14:editId="5277333A">
            <wp:extent cx="3409524" cy="676191"/>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409524" cy="676191"/>
                    </a:xfrm>
                    <a:prstGeom prst="rect">
                      <a:avLst/>
                    </a:prstGeom>
                  </pic:spPr>
                </pic:pic>
              </a:graphicData>
            </a:graphic>
          </wp:inline>
        </w:drawing>
      </w:r>
    </w:p>
    <w:p w:rsidR="00EA18F1" w:rsidRPr="00B454E7" w:rsidRDefault="00EA18F1" w:rsidP="00EA18F1"/>
    <w:p w:rsidR="00EA18F1" w:rsidRPr="00B454E7" w:rsidRDefault="00EA18F1" w:rsidP="00EA18F1"/>
    <w:p w:rsidR="00D07915" w:rsidRDefault="00A127D5" w:rsidP="00D07915">
      <w:r>
        <w:t xml:space="preserve">Only 3 bids were accepted as a result of this Form 470, One from </w:t>
      </w:r>
      <w:proofErr w:type="spellStart"/>
      <w:r>
        <w:t>Bestweb</w:t>
      </w:r>
      <w:proofErr w:type="spellEnd"/>
      <w:r>
        <w:t xml:space="preserve">, one from </w:t>
      </w:r>
      <w:proofErr w:type="spellStart"/>
      <w:r>
        <w:t>Lighttower</w:t>
      </w:r>
      <w:proofErr w:type="spellEnd"/>
      <w:r>
        <w:t>, and the last from Windstream.</w:t>
      </w:r>
    </w:p>
    <w:p w:rsidR="00A127D5" w:rsidRDefault="00A127D5" w:rsidP="00D07915"/>
    <w:p w:rsidR="00A127D5" w:rsidRDefault="00A127D5" w:rsidP="00D07915">
      <w:r>
        <w:t xml:space="preserve">All providers returned the provided bid sheets. </w:t>
      </w:r>
      <w:proofErr w:type="spellStart"/>
      <w:r>
        <w:t>BestWeb</w:t>
      </w:r>
      <w:proofErr w:type="spellEnd"/>
      <w:r>
        <w:t xml:space="preserve"> and </w:t>
      </w:r>
      <w:proofErr w:type="spellStart"/>
      <w:r>
        <w:t>Lighttower</w:t>
      </w:r>
      <w:proofErr w:type="spellEnd"/>
      <w:r>
        <w:t xml:space="preserve"> also included individual bids. Windstream only returned the bid pricing sheet.</w:t>
      </w:r>
    </w:p>
    <w:p w:rsidR="00A127D5" w:rsidRDefault="00A127D5" w:rsidP="00D07915"/>
    <w:p w:rsidR="00A127D5" w:rsidRDefault="00A127D5" w:rsidP="00D07915">
      <w:r>
        <w:lastRenderedPageBreak/>
        <w:t>Scenario#1</w:t>
      </w:r>
      <w:r w:rsidR="0042704C">
        <w:t xml:space="preserve"> 1 Gig Star</w:t>
      </w:r>
      <w:r>
        <w:t xml:space="preserve"> was the option selected for both Eastchester and </w:t>
      </w:r>
      <w:proofErr w:type="spellStart"/>
      <w:r>
        <w:t>Greenburgh</w:t>
      </w:r>
      <w:proofErr w:type="spellEnd"/>
      <w:r>
        <w:t xml:space="preserve"> Central. The pricing per the bids is as follow:</w:t>
      </w:r>
    </w:p>
    <w:p w:rsidR="00A127D5" w:rsidRDefault="00A127D5" w:rsidP="00D07915"/>
    <w:tbl>
      <w:tblPr>
        <w:tblW w:w="5000" w:type="pct"/>
        <w:tblLook w:val="04A0" w:firstRow="1" w:lastRow="0" w:firstColumn="1" w:lastColumn="0" w:noHBand="0" w:noVBand="1"/>
      </w:tblPr>
      <w:tblGrid>
        <w:gridCol w:w="663"/>
        <w:gridCol w:w="1220"/>
        <w:gridCol w:w="1455"/>
        <w:gridCol w:w="1841"/>
        <w:gridCol w:w="1171"/>
        <w:gridCol w:w="1185"/>
        <w:gridCol w:w="1321"/>
      </w:tblGrid>
      <w:tr w:rsidR="0042704C" w:rsidTr="0042704C">
        <w:trPr>
          <w:trHeight w:val="480"/>
        </w:trPr>
        <w:tc>
          <w:tcPr>
            <w:tcW w:w="30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42704C" w:rsidRDefault="0042704C">
            <w:pPr>
              <w:rPr>
                <w:rFonts w:ascii="Calibri" w:hAnsi="Calibri"/>
                <w:color w:val="000000"/>
                <w:sz w:val="22"/>
                <w:szCs w:val="22"/>
              </w:rPr>
            </w:pPr>
            <w:r>
              <w:rPr>
                <w:rFonts w:ascii="Calibri" w:hAnsi="Calibri"/>
                <w:color w:val="000000"/>
                <w:sz w:val="22"/>
                <w:szCs w:val="22"/>
              </w:rPr>
              <w:t>FY</w:t>
            </w:r>
          </w:p>
        </w:tc>
        <w:tc>
          <w:tcPr>
            <w:tcW w:w="565" w:type="pct"/>
            <w:tcBorders>
              <w:top w:val="single" w:sz="8" w:space="0" w:color="auto"/>
              <w:left w:val="nil"/>
              <w:bottom w:val="single" w:sz="8" w:space="0" w:color="auto"/>
              <w:right w:val="single" w:sz="8" w:space="0" w:color="auto"/>
            </w:tcBorders>
            <w:shd w:val="clear" w:color="auto" w:fill="auto"/>
            <w:vAlign w:val="center"/>
            <w:hideMark/>
          </w:tcPr>
          <w:p w:rsidR="0042704C" w:rsidRDefault="0042704C">
            <w:pPr>
              <w:rPr>
                <w:rFonts w:ascii="Calibri" w:hAnsi="Calibri"/>
                <w:color w:val="000000"/>
                <w:sz w:val="22"/>
                <w:szCs w:val="22"/>
              </w:rPr>
            </w:pPr>
            <w:r>
              <w:rPr>
                <w:rFonts w:ascii="Calibri" w:hAnsi="Calibri"/>
                <w:color w:val="000000"/>
                <w:sz w:val="22"/>
                <w:szCs w:val="22"/>
              </w:rPr>
              <w:t>471#</w:t>
            </w:r>
          </w:p>
        </w:tc>
        <w:tc>
          <w:tcPr>
            <w:tcW w:w="805" w:type="pct"/>
            <w:tcBorders>
              <w:top w:val="single" w:sz="8" w:space="0" w:color="auto"/>
              <w:left w:val="nil"/>
              <w:bottom w:val="single" w:sz="8" w:space="0" w:color="auto"/>
              <w:right w:val="single" w:sz="8" w:space="0" w:color="auto"/>
            </w:tcBorders>
            <w:shd w:val="clear" w:color="auto" w:fill="auto"/>
            <w:vAlign w:val="center"/>
            <w:hideMark/>
          </w:tcPr>
          <w:p w:rsidR="0042704C" w:rsidRDefault="0042704C">
            <w:pPr>
              <w:rPr>
                <w:rFonts w:ascii="Calibri" w:hAnsi="Calibri"/>
                <w:color w:val="000000"/>
                <w:sz w:val="22"/>
                <w:szCs w:val="22"/>
              </w:rPr>
            </w:pPr>
            <w:r>
              <w:rPr>
                <w:rFonts w:ascii="Calibri" w:hAnsi="Calibri"/>
                <w:color w:val="000000"/>
                <w:sz w:val="22"/>
                <w:szCs w:val="22"/>
              </w:rPr>
              <w:t>District</w:t>
            </w:r>
          </w:p>
        </w:tc>
        <w:tc>
          <w:tcPr>
            <w:tcW w:w="1157" w:type="pct"/>
            <w:tcBorders>
              <w:top w:val="single" w:sz="8" w:space="0" w:color="auto"/>
              <w:left w:val="nil"/>
              <w:bottom w:val="single" w:sz="8" w:space="0" w:color="auto"/>
              <w:right w:val="single" w:sz="8" w:space="0" w:color="auto"/>
            </w:tcBorders>
            <w:shd w:val="clear" w:color="auto" w:fill="auto"/>
            <w:vAlign w:val="center"/>
            <w:hideMark/>
          </w:tcPr>
          <w:p w:rsidR="0042704C" w:rsidRDefault="0042704C">
            <w:pPr>
              <w:rPr>
                <w:rFonts w:ascii="Calibri" w:hAnsi="Calibri"/>
                <w:color w:val="000000"/>
                <w:sz w:val="22"/>
                <w:szCs w:val="22"/>
              </w:rPr>
            </w:pPr>
            <w:r>
              <w:rPr>
                <w:rFonts w:ascii="Calibri" w:hAnsi="Calibri"/>
                <w:color w:val="000000"/>
                <w:sz w:val="22"/>
                <w:szCs w:val="22"/>
              </w:rPr>
              <w:t>Number of Bids</w:t>
            </w:r>
          </w:p>
        </w:tc>
        <w:tc>
          <w:tcPr>
            <w:tcW w:w="778" w:type="pct"/>
            <w:tcBorders>
              <w:top w:val="single" w:sz="8" w:space="0" w:color="auto"/>
              <w:left w:val="nil"/>
              <w:bottom w:val="single" w:sz="8" w:space="0" w:color="auto"/>
              <w:right w:val="single" w:sz="8" w:space="0" w:color="auto"/>
            </w:tcBorders>
            <w:shd w:val="clear" w:color="auto" w:fill="auto"/>
            <w:vAlign w:val="center"/>
            <w:hideMark/>
          </w:tcPr>
          <w:p w:rsidR="0042704C" w:rsidRDefault="0042704C">
            <w:pPr>
              <w:rPr>
                <w:rFonts w:ascii="Calibri" w:hAnsi="Calibri"/>
                <w:color w:val="000000"/>
                <w:sz w:val="22"/>
                <w:szCs w:val="22"/>
              </w:rPr>
            </w:pPr>
            <w:r>
              <w:rPr>
                <w:rFonts w:ascii="Calibri" w:hAnsi="Calibri"/>
                <w:color w:val="000000"/>
                <w:sz w:val="22"/>
                <w:szCs w:val="22"/>
              </w:rPr>
              <w:t>Best Web Bids</w:t>
            </w:r>
          </w:p>
        </w:tc>
        <w:tc>
          <w:tcPr>
            <w:tcW w:w="694" w:type="pct"/>
            <w:tcBorders>
              <w:top w:val="single" w:sz="8" w:space="0" w:color="auto"/>
              <w:left w:val="nil"/>
              <w:bottom w:val="single" w:sz="8" w:space="0" w:color="auto"/>
              <w:right w:val="single" w:sz="8" w:space="0" w:color="auto"/>
            </w:tcBorders>
            <w:shd w:val="clear" w:color="auto" w:fill="auto"/>
            <w:vAlign w:val="center"/>
            <w:hideMark/>
          </w:tcPr>
          <w:p w:rsidR="0042704C" w:rsidRDefault="0042704C">
            <w:pPr>
              <w:rPr>
                <w:rFonts w:ascii="Calibri" w:hAnsi="Calibri"/>
                <w:color w:val="000000"/>
                <w:sz w:val="22"/>
                <w:szCs w:val="22"/>
              </w:rPr>
            </w:pPr>
            <w:proofErr w:type="spellStart"/>
            <w:r>
              <w:rPr>
                <w:rFonts w:ascii="Calibri" w:hAnsi="Calibri"/>
                <w:color w:val="000000"/>
                <w:sz w:val="22"/>
                <w:szCs w:val="22"/>
              </w:rPr>
              <w:t>Lighttower</w:t>
            </w:r>
            <w:proofErr w:type="spellEnd"/>
            <w:r>
              <w:rPr>
                <w:rFonts w:ascii="Calibri" w:hAnsi="Calibri"/>
                <w:color w:val="000000"/>
                <w:sz w:val="22"/>
                <w:szCs w:val="22"/>
              </w:rPr>
              <w:t xml:space="preserve"> Bids</w:t>
            </w:r>
          </w:p>
        </w:tc>
        <w:tc>
          <w:tcPr>
            <w:tcW w:w="694" w:type="pct"/>
            <w:tcBorders>
              <w:top w:val="single" w:sz="8" w:space="0" w:color="auto"/>
              <w:left w:val="nil"/>
              <w:bottom w:val="single" w:sz="8" w:space="0" w:color="auto"/>
              <w:right w:val="single" w:sz="8" w:space="0" w:color="auto"/>
            </w:tcBorders>
            <w:shd w:val="clear" w:color="auto" w:fill="auto"/>
            <w:vAlign w:val="center"/>
            <w:hideMark/>
          </w:tcPr>
          <w:p w:rsidR="0042704C" w:rsidRDefault="0042704C">
            <w:pPr>
              <w:rPr>
                <w:rFonts w:ascii="Calibri" w:hAnsi="Calibri"/>
                <w:color w:val="000000"/>
                <w:sz w:val="22"/>
                <w:szCs w:val="22"/>
              </w:rPr>
            </w:pPr>
            <w:r>
              <w:rPr>
                <w:rFonts w:ascii="Calibri" w:hAnsi="Calibri"/>
                <w:color w:val="000000"/>
                <w:sz w:val="22"/>
                <w:szCs w:val="22"/>
              </w:rPr>
              <w:t>Windstream</w:t>
            </w:r>
          </w:p>
        </w:tc>
      </w:tr>
      <w:tr w:rsidR="0042704C" w:rsidTr="0042704C">
        <w:trPr>
          <w:trHeight w:val="315"/>
        </w:trPr>
        <w:tc>
          <w:tcPr>
            <w:tcW w:w="307" w:type="pct"/>
            <w:tcBorders>
              <w:top w:val="nil"/>
              <w:left w:val="single" w:sz="8" w:space="0" w:color="auto"/>
              <w:bottom w:val="single" w:sz="8" w:space="0" w:color="auto"/>
              <w:right w:val="single" w:sz="8" w:space="0" w:color="auto"/>
            </w:tcBorders>
            <w:shd w:val="clear" w:color="000000" w:fill="C5D9F1"/>
            <w:vAlign w:val="center"/>
            <w:hideMark/>
          </w:tcPr>
          <w:p w:rsidR="0042704C" w:rsidRDefault="0042704C">
            <w:pPr>
              <w:jc w:val="right"/>
              <w:rPr>
                <w:rFonts w:ascii="Calibri" w:hAnsi="Calibri"/>
                <w:color w:val="000000"/>
                <w:sz w:val="22"/>
                <w:szCs w:val="22"/>
              </w:rPr>
            </w:pPr>
            <w:r>
              <w:rPr>
                <w:rFonts w:ascii="Calibri" w:hAnsi="Calibri"/>
                <w:color w:val="000000"/>
                <w:sz w:val="22"/>
                <w:szCs w:val="22"/>
              </w:rPr>
              <w:t>2012</w:t>
            </w:r>
          </w:p>
        </w:tc>
        <w:tc>
          <w:tcPr>
            <w:tcW w:w="565" w:type="pct"/>
            <w:tcBorders>
              <w:top w:val="nil"/>
              <w:left w:val="nil"/>
              <w:bottom w:val="single" w:sz="8" w:space="0" w:color="auto"/>
              <w:right w:val="single" w:sz="8" w:space="0" w:color="auto"/>
            </w:tcBorders>
            <w:shd w:val="clear" w:color="000000" w:fill="C5D9F1"/>
            <w:vAlign w:val="center"/>
            <w:hideMark/>
          </w:tcPr>
          <w:p w:rsidR="0042704C" w:rsidRDefault="0042704C">
            <w:pPr>
              <w:jc w:val="right"/>
              <w:rPr>
                <w:rFonts w:ascii="Calibri" w:hAnsi="Calibri"/>
                <w:color w:val="000000"/>
                <w:sz w:val="22"/>
                <w:szCs w:val="22"/>
              </w:rPr>
            </w:pPr>
            <w:r>
              <w:rPr>
                <w:rFonts w:ascii="Calibri" w:hAnsi="Calibri"/>
                <w:color w:val="000000"/>
                <w:sz w:val="22"/>
                <w:szCs w:val="22"/>
              </w:rPr>
              <w:t>161003353</w:t>
            </w:r>
          </w:p>
        </w:tc>
        <w:tc>
          <w:tcPr>
            <w:tcW w:w="805" w:type="pct"/>
            <w:tcBorders>
              <w:top w:val="nil"/>
              <w:left w:val="nil"/>
              <w:bottom w:val="single" w:sz="8" w:space="0" w:color="auto"/>
              <w:right w:val="single" w:sz="8" w:space="0" w:color="auto"/>
            </w:tcBorders>
            <w:shd w:val="clear" w:color="000000" w:fill="C5D9F1"/>
            <w:noWrap/>
            <w:vAlign w:val="bottom"/>
            <w:hideMark/>
          </w:tcPr>
          <w:p w:rsidR="0042704C" w:rsidRDefault="0042704C">
            <w:pPr>
              <w:rPr>
                <w:rFonts w:ascii="Calibri" w:hAnsi="Calibri"/>
                <w:color w:val="000000"/>
                <w:sz w:val="22"/>
                <w:szCs w:val="22"/>
              </w:rPr>
            </w:pPr>
            <w:r>
              <w:rPr>
                <w:rFonts w:ascii="Calibri" w:hAnsi="Calibri"/>
                <w:color w:val="000000"/>
                <w:sz w:val="22"/>
                <w:szCs w:val="22"/>
              </w:rPr>
              <w:t>Eastchester</w:t>
            </w:r>
          </w:p>
        </w:tc>
        <w:tc>
          <w:tcPr>
            <w:tcW w:w="1157" w:type="pct"/>
            <w:tcBorders>
              <w:top w:val="nil"/>
              <w:left w:val="nil"/>
              <w:bottom w:val="single" w:sz="8" w:space="0" w:color="auto"/>
              <w:right w:val="single" w:sz="8" w:space="0" w:color="auto"/>
            </w:tcBorders>
            <w:shd w:val="clear" w:color="000000" w:fill="C5D9F1"/>
            <w:noWrap/>
            <w:vAlign w:val="bottom"/>
            <w:hideMark/>
          </w:tcPr>
          <w:p w:rsidR="0042704C" w:rsidRDefault="0042704C">
            <w:pPr>
              <w:jc w:val="center"/>
              <w:rPr>
                <w:rFonts w:ascii="Calibri" w:hAnsi="Calibri"/>
                <w:color w:val="000000"/>
                <w:sz w:val="22"/>
                <w:szCs w:val="22"/>
              </w:rPr>
            </w:pPr>
            <w:r>
              <w:rPr>
                <w:rFonts w:ascii="Calibri" w:hAnsi="Calibri"/>
                <w:color w:val="000000"/>
                <w:sz w:val="22"/>
                <w:szCs w:val="22"/>
              </w:rPr>
              <w:t>3</w:t>
            </w:r>
          </w:p>
        </w:tc>
        <w:tc>
          <w:tcPr>
            <w:tcW w:w="778" w:type="pct"/>
            <w:tcBorders>
              <w:top w:val="nil"/>
              <w:left w:val="nil"/>
              <w:bottom w:val="single" w:sz="8" w:space="0" w:color="auto"/>
              <w:right w:val="single" w:sz="8" w:space="0" w:color="auto"/>
            </w:tcBorders>
            <w:shd w:val="clear" w:color="000000" w:fill="C00000"/>
            <w:noWrap/>
            <w:vAlign w:val="bottom"/>
            <w:hideMark/>
          </w:tcPr>
          <w:p w:rsidR="0042704C" w:rsidRDefault="0042704C">
            <w:pPr>
              <w:jc w:val="center"/>
              <w:rPr>
                <w:rFonts w:ascii="Calibri" w:hAnsi="Calibri"/>
                <w:b/>
                <w:bCs/>
                <w:color w:val="000000"/>
                <w:sz w:val="22"/>
                <w:szCs w:val="22"/>
              </w:rPr>
            </w:pPr>
            <w:r>
              <w:rPr>
                <w:rFonts w:ascii="Calibri" w:hAnsi="Calibri"/>
                <w:b/>
                <w:bCs/>
                <w:color w:val="000000"/>
                <w:sz w:val="22"/>
                <w:szCs w:val="22"/>
              </w:rPr>
              <w:t>$3,124.00</w:t>
            </w:r>
          </w:p>
        </w:tc>
        <w:tc>
          <w:tcPr>
            <w:tcW w:w="694" w:type="pct"/>
            <w:tcBorders>
              <w:top w:val="nil"/>
              <w:left w:val="nil"/>
              <w:bottom w:val="single" w:sz="8" w:space="0" w:color="auto"/>
              <w:right w:val="single" w:sz="8" w:space="0" w:color="auto"/>
            </w:tcBorders>
            <w:shd w:val="clear" w:color="000000" w:fill="C5D9F1"/>
            <w:noWrap/>
            <w:vAlign w:val="bottom"/>
            <w:hideMark/>
          </w:tcPr>
          <w:p w:rsidR="0042704C" w:rsidRDefault="0042704C">
            <w:pPr>
              <w:jc w:val="center"/>
              <w:rPr>
                <w:rFonts w:ascii="Calibri" w:hAnsi="Calibri"/>
                <w:color w:val="000000"/>
                <w:sz w:val="22"/>
                <w:szCs w:val="22"/>
              </w:rPr>
            </w:pPr>
            <w:r>
              <w:rPr>
                <w:rFonts w:ascii="Calibri" w:hAnsi="Calibri"/>
                <w:color w:val="000000"/>
                <w:sz w:val="22"/>
                <w:szCs w:val="22"/>
              </w:rPr>
              <w:t>$3,995.00</w:t>
            </w:r>
          </w:p>
        </w:tc>
        <w:tc>
          <w:tcPr>
            <w:tcW w:w="694" w:type="pct"/>
            <w:tcBorders>
              <w:top w:val="nil"/>
              <w:left w:val="nil"/>
              <w:bottom w:val="single" w:sz="8" w:space="0" w:color="auto"/>
              <w:right w:val="single" w:sz="8" w:space="0" w:color="auto"/>
            </w:tcBorders>
            <w:shd w:val="clear" w:color="000000" w:fill="C5D9F1"/>
            <w:noWrap/>
            <w:vAlign w:val="bottom"/>
            <w:hideMark/>
          </w:tcPr>
          <w:p w:rsidR="0042704C" w:rsidRDefault="0042704C">
            <w:pPr>
              <w:jc w:val="center"/>
              <w:rPr>
                <w:rFonts w:ascii="Calibri" w:hAnsi="Calibri"/>
                <w:color w:val="000000"/>
                <w:sz w:val="22"/>
                <w:szCs w:val="22"/>
              </w:rPr>
            </w:pPr>
            <w:r>
              <w:rPr>
                <w:rFonts w:ascii="Calibri" w:hAnsi="Calibri"/>
                <w:color w:val="000000"/>
                <w:sz w:val="22"/>
                <w:szCs w:val="22"/>
              </w:rPr>
              <w:t>$6,280.00</w:t>
            </w:r>
          </w:p>
        </w:tc>
      </w:tr>
      <w:tr w:rsidR="0042704C" w:rsidTr="0042704C">
        <w:trPr>
          <w:trHeight w:val="315"/>
        </w:trPr>
        <w:tc>
          <w:tcPr>
            <w:tcW w:w="307" w:type="pct"/>
            <w:tcBorders>
              <w:top w:val="nil"/>
              <w:left w:val="single" w:sz="8" w:space="0" w:color="auto"/>
              <w:bottom w:val="single" w:sz="8" w:space="0" w:color="auto"/>
              <w:right w:val="single" w:sz="8" w:space="0" w:color="auto"/>
            </w:tcBorders>
            <w:shd w:val="clear" w:color="000000" w:fill="C5D9F1"/>
            <w:vAlign w:val="center"/>
            <w:hideMark/>
          </w:tcPr>
          <w:p w:rsidR="0042704C" w:rsidRDefault="0042704C">
            <w:pPr>
              <w:jc w:val="right"/>
              <w:rPr>
                <w:rFonts w:ascii="Calibri" w:hAnsi="Calibri"/>
                <w:color w:val="000000"/>
                <w:sz w:val="22"/>
                <w:szCs w:val="22"/>
              </w:rPr>
            </w:pPr>
            <w:r>
              <w:rPr>
                <w:rFonts w:ascii="Calibri" w:hAnsi="Calibri"/>
                <w:color w:val="000000"/>
                <w:sz w:val="22"/>
                <w:szCs w:val="22"/>
              </w:rPr>
              <w:t>2012</w:t>
            </w:r>
          </w:p>
        </w:tc>
        <w:tc>
          <w:tcPr>
            <w:tcW w:w="565" w:type="pct"/>
            <w:tcBorders>
              <w:top w:val="nil"/>
              <w:left w:val="nil"/>
              <w:bottom w:val="single" w:sz="8" w:space="0" w:color="auto"/>
              <w:right w:val="single" w:sz="8" w:space="0" w:color="auto"/>
            </w:tcBorders>
            <w:shd w:val="clear" w:color="000000" w:fill="C5D9F1"/>
            <w:noWrap/>
            <w:vAlign w:val="center"/>
            <w:hideMark/>
          </w:tcPr>
          <w:p w:rsidR="0042704C" w:rsidRDefault="0042704C">
            <w:pPr>
              <w:jc w:val="right"/>
              <w:rPr>
                <w:rFonts w:ascii="Calibri" w:hAnsi="Calibri"/>
                <w:color w:val="000000"/>
                <w:sz w:val="22"/>
                <w:szCs w:val="22"/>
              </w:rPr>
            </w:pPr>
            <w:r>
              <w:rPr>
                <w:rFonts w:ascii="Calibri" w:hAnsi="Calibri"/>
                <w:color w:val="000000"/>
                <w:sz w:val="22"/>
                <w:szCs w:val="22"/>
              </w:rPr>
              <w:t>161003355</w:t>
            </w:r>
          </w:p>
        </w:tc>
        <w:tc>
          <w:tcPr>
            <w:tcW w:w="805" w:type="pct"/>
            <w:tcBorders>
              <w:top w:val="nil"/>
              <w:left w:val="nil"/>
              <w:bottom w:val="single" w:sz="8" w:space="0" w:color="auto"/>
              <w:right w:val="single" w:sz="8" w:space="0" w:color="auto"/>
            </w:tcBorders>
            <w:shd w:val="clear" w:color="000000" w:fill="C5D9F1"/>
            <w:noWrap/>
            <w:vAlign w:val="bottom"/>
            <w:hideMark/>
          </w:tcPr>
          <w:p w:rsidR="0042704C" w:rsidRDefault="0042704C">
            <w:pPr>
              <w:rPr>
                <w:rFonts w:ascii="Calibri" w:hAnsi="Calibri"/>
                <w:color w:val="000000"/>
                <w:sz w:val="22"/>
                <w:szCs w:val="22"/>
              </w:rPr>
            </w:pPr>
            <w:proofErr w:type="spellStart"/>
            <w:r>
              <w:rPr>
                <w:rFonts w:ascii="Calibri" w:hAnsi="Calibri"/>
                <w:color w:val="000000"/>
                <w:sz w:val="22"/>
                <w:szCs w:val="22"/>
              </w:rPr>
              <w:t>Greenburgh</w:t>
            </w:r>
            <w:proofErr w:type="spellEnd"/>
            <w:r>
              <w:rPr>
                <w:rFonts w:ascii="Calibri" w:hAnsi="Calibri"/>
                <w:color w:val="000000"/>
                <w:sz w:val="22"/>
                <w:szCs w:val="22"/>
              </w:rPr>
              <w:t xml:space="preserve"> 7</w:t>
            </w:r>
          </w:p>
        </w:tc>
        <w:tc>
          <w:tcPr>
            <w:tcW w:w="1157" w:type="pct"/>
            <w:tcBorders>
              <w:top w:val="nil"/>
              <w:left w:val="nil"/>
              <w:bottom w:val="single" w:sz="8" w:space="0" w:color="auto"/>
              <w:right w:val="single" w:sz="8" w:space="0" w:color="auto"/>
            </w:tcBorders>
            <w:shd w:val="clear" w:color="000000" w:fill="C5D9F1"/>
            <w:noWrap/>
            <w:vAlign w:val="bottom"/>
            <w:hideMark/>
          </w:tcPr>
          <w:p w:rsidR="0042704C" w:rsidRDefault="0042704C">
            <w:pPr>
              <w:jc w:val="center"/>
              <w:rPr>
                <w:rFonts w:ascii="Calibri" w:hAnsi="Calibri"/>
                <w:color w:val="000000"/>
                <w:sz w:val="22"/>
                <w:szCs w:val="22"/>
              </w:rPr>
            </w:pPr>
            <w:r>
              <w:rPr>
                <w:rFonts w:ascii="Calibri" w:hAnsi="Calibri"/>
                <w:color w:val="000000"/>
                <w:sz w:val="22"/>
                <w:szCs w:val="22"/>
              </w:rPr>
              <w:t>3</w:t>
            </w:r>
          </w:p>
        </w:tc>
        <w:tc>
          <w:tcPr>
            <w:tcW w:w="778" w:type="pct"/>
            <w:tcBorders>
              <w:top w:val="nil"/>
              <w:left w:val="nil"/>
              <w:bottom w:val="single" w:sz="8" w:space="0" w:color="auto"/>
              <w:right w:val="single" w:sz="8" w:space="0" w:color="auto"/>
            </w:tcBorders>
            <w:shd w:val="clear" w:color="000000" w:fill="C00000"/>
            <w:noWrap/>
            <w:vAlign w:val="bottom"/>
            <w:hideMark/>
          </w:tcPr>
          <w:p w:rsidR="0042704C" w:rsidRDefault="0042704C">
            <w:pPr>
              <w:jc w:val="center"/>
              <w:rPr>
                <w:rFonts w:ascii="Calibri" w:hAnsi="Calibri"/>
                <w:b/>
                <w:bCs/>
                <w:color w:val="000000"/>
                <w:sz w:val="22"/>
                <w:szCs w:val="22"/>
              </w:rPr>
            </w:pPr>
            <w:r>
              <w:rPr>
                <w:rFonts w:ascii="Calibri" w:hAnsi="Calibri"/>
                <w:b/>
                <w:bCs/>
                <w:color w:val="000000"/>
                <w:sz w:val="22"/>
                <w:szCs w:val="22"/>
              </w:rPr>
              <w:t>$3,704.00</w:t>
            </w:r>
          </w:p>
        </w:tc>
        <w:tc>
          <w:tcPr>
            <w:tcW w:w="694" w:type="pct"/>
            <w:tcBorders>
              <w:top w:val="nil"/>
              <w:left w:val="nil"/>
              <w:bottom w:val="single" w:sz="8" w:space="0" w:color="auto"/>
              <w:right w:val="single" w:sz="8" w:space="0" w:color="auto"/>
            </w:tcBorders>
            <w:shd w:val="clear" w:color="000000" w:fill="C5D9F1"/>
            <w:noWrap/>
            <w:vAlign w:val="bottom"/>
            <w:hideMark/>
          </w:tcPr>
          <w:p w:rsidR="0042704C" w:rsidRDefault="0042704C">
            <w:pPr>
              <w:jc w:val="center"/>
              <w:rPr>
                <w:rFonts w:ascii="Calibri" w:hAnsi="Calibri"/>
                <w:color w:val="000000"/>
                <w:sz w:val="22"/>
                <w:szCs w:val="22"/>
              </w:rPr>
            </w:pPr>
            <w:r>
              <w:rPr>
                <w:rFonts w:ascii="Calibri" w:hAnsi="Calibri"/>
                <w:color w:val="000000"/>
                <w:sz w:val="22"/>
                <w:szCs w:val="22"/>
              </w:rPr>
              <w:t>$4,900.00</w:t>
            </w:r>
          </w:p>
        </w:tc>
        <w:tc>
          <w:tcPr>
            <w:tcW w:w="694" w:type="pct"/>
            <w:tcBorders>
              <w:top w:val="nil"/>
              <w:left w:val="nil"/>
              <w:bottom w:val="single" w:sz="8" w:space="0" w:color="auto"/>
              <w:right w:val="single" w:sz="8" w:space="0" w:color="auto"/>
            </w:tcBorders>
            <w:shd w:val="clear" w:color="000000" w:fill="C5D9F1"/>
            <w:noWrap/>
            <w:vAlign w:val="bottom"/>
            <w:hideMark/>
          </w:tcPr>
          <w:p w:rsidR="0042704C" w:rsidRDefault="0042704C">
            <w:pPr>
              <w:jc w:val="center"/>
              <w:rPr>
                <w:rFonts w:ascii="Calibri" w:hAnsi="Calibri"/>
                <w:color w:val="000000"/>
                <w:sz w:val="22"/>
                <w:szCs w:val="22"/>
              </w:rPr>
            </w:pPr>
            <w:r>
              <w:rPr>
                <w:rFonts w:ascii="Calibri" w:hAnsi="Calibri"/>
                <w:color w:val="000000"/>
                <w:sz w:val="22"/>
                <w:szCs w:val="22"/>
              </w:rPr>
              <w:t>$9,520.00</w:t>
            </w:r>
          </w:p>
        </w:tc>
      </w:tr>
    </w:tbl>
    <w:p w:rsidR="00A127D5" w:rsidRDefault="00A127D5" w:rsidP="00D07915"/>
    <w:p w:rsidR="00A127D5" w:rsidRPr="00B454E7" w:rsidRDefault="009D4D6B" w:rsidP="00D07915">
      <w:r>
        <w:t xml:space="preserve">Best Web was chosen as the lowest cost bidder for both Eastchester and </w:t>
      </w:r>
      <w:proofErr w:type="spellStart"/>
      <w:r>
        <w:t>Greenburgh</w:t>
      </w:r>
      <w:proofErr w:type="spellEnd"/>
      <w:r>
        <w:t xml:space="preserve"> 7.</w:t>
      </w:r>
    </w:p>
    <w:p w:rsidR="00B12ADA" w:rsidRPr="00B454E7" w:rsidRDefault="00B12ADA" w:rsidP="00D07915"/>
    <w:p w:rsidR="0041659B" w:rsidRPr="00201598" w:rsidRDefault="00201598" w:rsidP="00BB6968">
      <w:r w:rsidRPr="00201598">
        <w:t xml:space="preserve">For clarity, it is important to discuss the pricing format of the pricing on the actual bids that were received. </w:t>
      </w:r>
      <w:proofErr w:type="spellStart"/>
      <w:r w:rsidRPr="00201598">
        <w:t>Lighttower</w:t>
      </w:r>
      <w:proofErr w:type="spellEnd"/>
      <w:r w:rsidRPr="00201598">
        <w:t xml:space="preserve"> provided their pricing as the monthly recurring cost. </w:t>
      </w:r>
      <w:proofErr w:type="spellStart"/>
      <w:r w:rsidRPr="00201598">
        <w:t>Bestweb</w:t>
      </w:r>
      <w:proofErr w:type="spellEnd"/>
      <w:r w:rsidRPr="00201598">
        <w:t xml:space="preserve"> provided their pricing as the entire cost over the life of the proposed 5 year term. On paper, just looking at the numbers, it would appea</w:t>
      </w:r>
      <w:r w:rsidR="00282D22">
        <w:t>r that</w:t>
      </w:r>
      <w:r w:rsidRPr="00201598">
        <w:t xml:space="preserve"> </w:t>
      </w:r>
      <w:proofErr w:type="spellStart"/>
      <w:r w:rsidRPr="00201598">
        <w:t>Lighttower</w:t>
      </w:r>
      <w:proofErr w:type="spellEnd"/>
      <w:r w:rsidRPr="00201598">
        <w:t xml:space="preserve"> provides the lowest cost solution. In actuality, </w:t>
      </w:r>
      <w:proofErr w:type="spellStart"/>
      <w:r w:rsidRPr="00201598">
        <w:t>Bestweb’s</w:t>
      </w:r>
      <w:proofErr w:type="spellEnd"/>
      <w:r w:rsidRPr="00201598">
        <w:t xml:space="preserve"> pricing should be divided by 60</w:t>
      </w:r>
      <w:r w:rsidR="00282D22">
        <w:t>, reflecting each month in the term of the service</w:t>
      </w:r>
      <w:r w:rsidRPr="00201598">
        <w:t xml:space="preserve">, </w:t>
      </w:r>
      <w:r w:rsidR="00282D22">
        <w:t>as this</w:t>
      </w:r>
      <w:r w:rsidR="00282D22" w:rsidRPr="00201598">
        <w:t xml:space="preserve"> </w:t>
      </w:r>
      <w:r w:rsidRPr="00201598">
        <w:t xml:space="preserve">is the number of months for the proposed service term. By doing this, it becomes clear that </w:t>
      </w:r>
      <w:proofErr w:type="spellStart"/>
      <w:r w:rsidRPr="00201598">
        <w:t>Bestweb</w:t>
      </w:r>
      <w:proofErr w:type="spellEnd"/>
      <w:r w:rsidRPr="00201598">
        <w:t xml:space="preserve"> offers the lowest monthly recurring cost.</w:t>
      </w:r>
    </w:p>
    <w:p w:rsidR="0041659B" w:rsidRPr="00B454E7" w:rsidRDefault="0041659B" w:rsidP="00BB6968">
      <w:pPr>
        <w:rPr>
          <w:sz w:val="20"/>
          <w:szCs w:val="20"/>
        </w:rPr>
      </w:pPr>
    </w:p>
    <w:p w:rsidR="0007630F" w:rsidRPr="00B454E7" w:rsidRDefault="0007630F" w:rsidP="00BB6968">
      <w:r w:rsidRPr="00B454E7">
        <w:t xml:space="preserve">After looking at bid processes, it becomes very clear that the applicant, with help of the consultant has done everything that can be done to ensure all of these FRNs have been properly documented. Bid copies have been saved, vendor </w:t>
      </w:r>
      <w:r w:rsidR="00931B3C" w:rsidRPr="00B454E7">
        <w:t>evaluations</w:t>
      </w:r>
      <w:r w:rsidRPr="00B454E7">
        <w:t xml:space="preserve"> completed and stored, and </w:t>
      </w:r>
      <w:r w:rsidR="00931B3C" w:rsidRPr="00B454E7">
        <w:t>cost</w:t>
      </w:r>
      <w:r w:rsidRPr="00B454E7">
        <w:t xml:space="preserve"> effectiveness </w:t>
      </w:r>
      <w:r w:rsidR="00B12ADA" w:rsidRPr="00B454E7">
        <w:t>at the core of the applicant’s determination</w:t>
      </w:r>
      <w:r w:rsidRPr="00B454E7">
        <w:t xml:space="preserve"> for every vendor award.</w:t>
      </w:r>
    </w:p>
    <w:p w:rsidR="0007630F" w:rsidRPr="00B454E7" w:rsidRDefault="0007630F" w:rsidP="00BB6968"/>
    <w:p w:rsidR="0007630F" w:rsidRPr="00B454E7" w:rsidRDefault="0007630F" w:rsidP="00BB6968">
      <w:r w:rsidRPr="00B454E7">
        <w:t xml:space="preserve"> Southern Westchester BOCES is a longtime supporter of Universal Service and has never had any issues that have been portrayed in the denials. The documentation and records being shared here do not only show that they have followed program rules, but that they are upholding the integrity of Universal Service. Keeping records of this magnitude is no small </w:t>
      </w:r>
      <w:r w:rsidR="00931B3C" w:rsidRPr="00B454E7">
        <w:t>feat</w:t>
      </w:r>
      <w:r w:rsidRPr="00B454E7">
        <w:t xml:space="preserve">, </w:t>
      </w:r>
      <w:r w:rsidR="00B12ADA" w:rsidRPr="00B454E7">
        <w:t>and</w:t>
      </w:r>
      <w:r w:rsidRPr="00B454E7">
        <w:t xml:space="preserve"> there is supporting documentation for every FRN.</w:t>
      </w:r>
    </w:p>
    <w:p w:rsidR="0007630F" w:rsidRPr="00B454E7" w:rsidRDefault="0007630F" w:rsidP="00BB6968"/>
    <w:p w:rsidR="00931B3C" w:rsidRPr="00B454E7" w:rsidRDefault="0007630F" w:rsidP="00BB6968">
      <w:r w:rsidRPr="00B454E7">
        <w:t xml:space="preserve">It is a major disappointment that EPC has been a real </w:t>
      </w:r>
      <w:r w:rsidR="00931B3C" w:rsidRPr="00B454E7">
        <w:t>issue with</w:t>
      </w:r>
      <w:r w:rsidR="00B12ADA" w:rsidRPr="00B454E7">
        <w:t xml:space="preserve"> getting these FRNs funded</w:t>
      </w:r>
      <w:r w:rsidRPr="00B454E7">
        <w:t xml:space="preserve">. </w:t>
      </w:r>
      <w:r w:rsidR="00B12ADA" w:rsidRPr="00B454E7">
        <w:t>It is</w:t>
      </w:r>
      <w:r w:rsidR="00931B3C" w:rsidRPr="00B454E7">
        <w:t xml:space="preserve"> no coincidence that the first year PIAs are in EPC that these denials have occurred. The denials are a direct result </w:t>
      </w:r>
      <w:r w:rsidR="00B12ADA" w:rsidRPr="00B454E7">
        <w:t xml:space="preserve">of </w:t>
      </w:r>
      <w:r w:rsidR="00931B3C" w:rsidRPr="00B454E7">
        <w:t>EPC</w:t>
      </w:r>
      <w:r w:rsidR="00B12ADA" w:rsidRPr="00B454E7">
        <w:t>s growing pains</w:t>
      </w:r>
      <w:r w:rsidR="00931B3C" w:rsidRPr="00B454E7">
        <w:t>. The process was messy and unclear, the communication</w:t>
      </w:r>
      <w:r w:rsidR="00B454E7">
        <w:t xml:space="preserve"> was</w:t>
      </w:r>
      <w:r w:rsidR="00931B3C" w:rsidRPr="00B454E7">
        <w:t xml:space="preserve"> non-existent</w:t>
      </w:r>
      <w:r w:rsidR="00B12ADA" w:rsidRPr="00B454E7">
        <w:t xml:space="preserve"> between reviewers</w:t>
      </w:r>
      <w:r w:rsidR="00B454E7">
        <w:t xml:space="preserve"> and consultant despite our</w:t>
      </w:r>
      <w:r w:rsidR="00B12ADA" w:rsidRPr="00B454E7">
        <w:t xml:space="preserve"> attempts to bridge that gap.</w:t>
      </w:r>
    </w:p>
    <w:p w:rsidR="00931B3C" w:rsidRPr="00B454E7" w:rsidRDefault="00931B3C" w:rsidP="00BB6968"/>
    <w:p w:rsidR="0007630F" w:rsidRPr="00B454E7" w:rsidRDefault="0007630F" w:rsidP="00BB6968">
      <w:r w:rsidRPr="00B454E7">
        <w:t xml:space="preserve">A </w:t>
      </w:r>
      <w:r w:rsidR="00931B3C" w:rsidRPr="00B454E7">
        <w:t>Consortium</w:t>
      </w:r>
      <w:r w:rsidRPr="00B454E7">
        <w:t xml:space="preserve"> of this size needs </w:t>
      </w:r>
      <w:r w:rsidR="00B12ADA" w:rsidRPr="00B454E7">
        <w:t>to</w:t>
      </w:r>
      <w:r w:rsidR="00931B3C" w:rsidRPr="00B454E7">
        <w:t xml:space="preserve"> be treated with great</w:t>
      </w:r>
      <w:r w:rsidRPr="00B454E7">
        <w:t xml:space="preserve"> care from USAC</w:t>
      </w:r>
      <w:r w:rsidR="00931B3C" w:rsidRPr="00B454E7">
        <w:t>.</w:t>
      </w:r>
      <w:r w:rsidRPr="00B454E7">
        <w:t xml:space="preserve"> </w:t>
      </w:r>
      <w:r w:rsidR="00931B3C" w:rsidRPr="00B454E7">
        <w:t xml:space="preserve">Southern Westchester BOCES has demonstrated how </w:t>
      </w:r>
      <w:r w:rsidR="00B12ADA" w:rsidRPr="00B454E7">
        <w:t>invested they are in this process</w:t>
      </w:r>
      <w:r w:rsidR="00931B3C" w:rsidRPr="00B454E7">
        <w:t xml:space="preserve"> and Universal Service by being able to provide every piece of documentation for every FRN. Southern Westchester BOCES has shown its integrity here, and upholding a denial would be a real setback in USAC’s ability to govern the E-rate process.</w:t>
      </w:r>
    </w:p>
    <w:p w:rsidR="00931B3C" w:rsidRPr="00B454E7" w:rsidRDefault="00931B3C" w:rsidP="00BB6968"/>
    <w:p w:rsidR="00931B3C" w:rsidRPr="00B454E7" w:rsidRDefault="00931B3C" w:rsidP="00931B3C">
      <w:r w:rsidRPr="00B454E7">
        <w:t xml:space="preserve">We respectfully request that you overturn the denial </w:t>
      </w:r>
      <w:r w:rsidR="00C051D6">
        <w:t>and restore full funding of these</w:t>
      </w:r>
      <w:r w:rsidRPr="00B454E7">
        <w:t xml:space="preserve"> FRN</w:t>
      </w:r>
      <w:r w:rsidR="00C051D6">
        <w:t>s</w:t>
      </w:r>
      <w:r w:rsidRPr="00B454E7">
        <w:t>. Thank you for reviewing this appeal.  Please use the contact information below.</w:t>
      </w:r>
    </w:p>
    <w:p w:rsidR="00931B3C" w:rsidRPr="00B454E7" w:rsidRDefault="00931B3C" w:rsidP="00BB6968"/>
    <w:p w:rsidR="0007630F" w:rsidRPr="00B454E7" w:rsidRDefault="0007630F" w:rsidP="00BB6968">
      <w:pPr>
        <w:rPr>
          <w:sz w:val="20"/>
          <w:szCs w:val="20"/>
        </w:rPr>
      </w:pPr>
    </w:p>
    <w:p w:rsidR="0007630F" w:rsidRPr="00B454E7" w:rsidRDefault="0007630F" w:rsidP="00BB6968">
      <w:pPr>
        <w:rPr>
          <w:sz w:val="20"/>
          <w:szCs w:val="20"/>
        </w:rPr>
      </w:pPr>
    </w:p>
    <w:p w:rsidR="0007630F" w:rsidRPr="00B454E7" w:rsidRDefault="001D343D" w:rsidP="00BB6968">
      <w:r w:rsidRPr="00B454E7">
        <w:t>Sincerely,</w:t>
      </w:r>
    </w:p>
    <w:p w:rsidR="001D343D" w:rsidRPr="00B454E7" w:rsidRDefault="001D343D" w:rsidP="00BB6968"/>
    <w:p w:rsidR="001D343D" w:rsidRPr="00B454E7" w:rsidRDefault="001D343D" w:rsidP="00BB6968"/>
    <w:p w:rsidR="001D343D" w:rsidRPr="00B454E7" w:rsidRDefault="001D343D" w:rsidP="00BB6968">
      <w:r w:rsidRPr="00B454E7">
        <w:t>Sean Cuskey</w:t>
      </w:r>
    </w:p>
    <w:p w:rsidR="001D343D" w:rsidRPr="00B454E7" w:rsidRDefault="001D343D" w:rsidP="00BB6968">
      <w:r w:rsidRPr="00B454E7">
        <w:t>Director of Operations e2e Exchange LLC</w:t>
      </w:r>
    </w:p>
    <w:p w:rsidR="001D343D" w:rsidRPr="00B454E7" w:rsidRDefault="001D343D" w:rsidP="00BB6968"/>
    <w:p w:rsidR="00751522" w:rsidRPr="00B454E7" w:rsidRDefault="001D343D" w:rsidP="00BB6968">
      <w:r w:rsidRPr="00B454E7">
        <w:t xml:space="preserve">Attachments – </w:t>
      </w:r>
    </w:p>
    <w:p w:rsidR="00D96D84" w:rsidRPr="00B454E7" w:rsidRDefault="00D96D84" w:rsidP="00BB6968"/>
    <w:p w:rsidR="00BA6467" w:rsidRDefault="00C051D6" w:rsidP="00BA6467">
      <w:pPr>
        <w:pStyle w:val="ListParagraph"/>
        <w:numPr>
          <w:ilvl w:val="0"/>
          <w:numId w:val="2"/>
        </w:numPr>
      </w:pPr>
      <w:r>
        <w:t>FY 2012 fu</w:t>
      </w:r>
      <w:r w:rsidR="00BA6467" w:rsidRPr="00B454E7">
        <w:t>ll bid respo</w:t>
      </w:r>
      <w:r w:rsidR="009D4D6B">
        <w:t xml:space="preserve">nses for </w:t>
      </w:r>
      <w:proofErr w:type="spellStart"/>
      <w:r w:rsidR="009D4D6B">
        <w:t>Bestweb</w:t>
      </w:r>
      <w:proofErr w:type="spellEnd"/>
      <w:r w:rsidR="009D4D6B">
        <w:t xml:space="preserve"> and </w:t>
      </w:r>
      <w:proofErr w:type="spellStart"/>
      <w:r w:rsidR="009D4D6B">
        <w:t>Lighttower</w:t>
      </w:r>
      <w:proofErr w:type="spellEnd"/>
      <w:r w:rsidR="00BA6467" w:rsidRPr="00B454E7">
        <w:t xml:space="preserve"> </w:t>
      </w:r>
    </w:p>
    <w:p w:rsidR="009D4D6B" w:rsidRDefault="009D4D6B" w:rsidP="00BA6467">
      <w:pPr>
        <w:pStyle w:val="ListParagraph"/>
        <w:numPr>
          <w:ilvl w:val="0"/>
          <w:numId w:val="2"/>
        </w:numPr>
      </w:pPr>
      <w:r>
        <w:t>FY 2012 Bid Sheet returned by Windstream; Windstream provided no actual bid</w:t>
      </w:r>
    </w:p>
    <w:p w:rsidR="009D4D6B" w:rsidRPr="009D4D6B" w:rsidRDefault="009D4D6B" w:rsidP="00BA6467">
      <w:pPr>
        <w:pStyle w:val="ListParagraph"/>
        <w:numPr>
          <w:ilvl w:val="0"/>
          <w:numId w:val="2"/>
        </w:numPr>
      </w:pPr>
      <w:r>
        <w:t xml:space="preserve">Vendor evaluations for FRNs </w:t>
      </w:r>
      <w:r>
        <w:rPr>
          <w:rFonts w:ascii="Calibri" w:hAnsi="Calibri"/>
          <w:color w:val="000000"/>
          <w:sz w:val="22"/>
          <w:szCs w:val="22"/>
        </w:rPr>
        <w:t>2724304 and 2563364 for Eastchester</w:t>
      </w:r>
    </w:p>
    <w:p w:rsidR="009D4D6B" w:rsidRPr="009D4D6B" w:rsidRDefault="009D4D6B" w:rsidP="00BA6467">
      <w:pPr>
        <w:pStyle w:val="ListParagraph"/>
        <w:numPr>
          <w:ilvl w:val="0"/>
          <w:numId w:val="2"/>
        </w:numPr>
      </w:pPr>
      <w:r>
        <w:rPr>
          <w:rFonts w:ascii="Calibri" w:hAnsi="Calibri"/>
          <w:color w:val="000000"/>
          <w:sz w:val="22"/>
          <w:szCs w:val="22"/>
        </w:rPr>
        <w:t xml:space="preserve">Vendor evaluations for FRNs 2724312 and 2563429 for </w:t>
      </w:r>
      <w:proofErr w:type="spellStart"/>
      <w:r>
        <w:rPr>
          <w:rFonts w:ascii="Calibri" w:hAnsi="Calibri"/>
          <w:color w:val="000000"/>
          <w:sz w:val="22"/>
          <w:szCs w:val="22"/>
        </w:rPr>
        <w:t>Greenurgh</w:t>
      </w:r>
      <w:proofErr w:type="spellEnd"/>
      <w:r>
        <w:rPr>
          <w:rFonts w:ascii="Calibri" w:hAnsi="Calibri"/>
          <w:color w:val="000000"/>
          <w:sz w:val="22"/>
          <w:szCs w:val="22"/>
        </w:rPr>
        <w:t xml:space="preserve"> 7,</w:t>
      </w:r>
    </w:p>
    <w:p w:rsidR="009D4D6B" w:rsidRPr="009D4D6B" w:rsidRDefault="009D4D6B" w:rsidP="00BA6467">
      <w:pPr>
        <w:pStyle w:val="ListParagraph"/>
        <w:numPr>
          <w:ilvl w:val="0"/>
          <w:numId w:val="2"/>
        </w:numPr>
      </w:pPr>
      <w:r>
        <w:rPr>
          <w:rFonts w:ascii="Calibri" w:hAnsi="Calibri"/>
          <w:color w:val="000000"/>
          <w:sz w:val="22"/>
          <w:szCs w:val="22"/>
        </w:rPr>
        <w:t xml:space="preserve">Signed LOI for </w:t>
      </w:r>
      <w:r>
        <w:t xml:space="preserve">FRNs </w:t>
      </w:r>
      <w:r>
        <w:rPr>
          <w:rFonts w:ascii="Calibri" w:hAnsi="Calibri"/>
          <w:color w:val="000000"/>
          <w:sz w:val="22"/>
          <w:szCs w:val="22"/>
        </w:rPr>
        <w:t>2724304 and 2563364 for Eastchester</w:t>
      </w:r>
    </w:p>
    <w:p w:rsidR="009D4D6B" w:rsidRPr="00B454E7" w:rsidRDefault="009D4D6B" w:rsidP="00BA6467">
      <w:pPr>
        <w:pStyle w:val="ListParagraph"/>
        <w:numPr>
          <w:ilvl w:val="0"/>
          <w:numId w:val="2"/>
        </w:numPr>
      </w:pPr>
      <w:r>
        <w:rPr>
          <w:rFonts w:ascii="Calibri" w:hAnsi="Calibri"/>
          <w:color w:val="000000"/>
          <w:sz w:val="22"/>
          <w:szCs w:val="22"/>
        </w:rPr>
        <w:t xml:space="preserve">Signed LOI for FRNs 2724312 and 2563429 for </w:t>
      </w:r>
      <w:proofErr w:type="spellStart"/>
      <w:r>
        <w:rPr>
          <w:rFonts w:ascii="Calibri" w:hAnsi="Calibri"/>
          <w:color w:val="000000"/>
          <w:sz w:val="22"/>
          <w:szCs w:val="22"/>
        </w:rPr>
        <w:t>Greenurgh</w:t>
      </w:r>
      <w:proofErr w:type="spellEnd"/>
      <w:r>
        <w:rPr>
          <w:rFonts w:ascii="Calibri" w:hAnsi="Calibri"/>
          <w:color w:val="000000"/>
          <w:sz w:val="22"/>
          <w:szCs w:val="22"/>
        </w:rPr>
        <w:t xml:space="preserve"> 7</w:t>
      </w:r>
    </w:p>
    <w:p w:rsidR="00D96D84" w:rsidRPr="00B454E7" w:rsidRDefault="00D96D84" w:rsidP="00D96D84">
      <w:pPr>
        <w:pStyle w:val="ListParagraph"/>
      </w:pPr>
    </w:p>
    <w:p w:rsidR="00171E9C" w:rsidRPr="00B454E7" w:rsidRDefault="00171E9C" w:rsidP="00D96D84">
      <w:pPr>
        <w:pStyle w:val="ListParagraph"/>
      </w:pPr>
      <w:r w:rsidRPr="00B454E7">
        <w:t xml:space="preserve"> </w:t>
      </w:r>
    </w:p>
    <w:sectPr w:rsidR="00171E9C" w:rsidRPr="00B454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D3BFB"/>
    <w:multiLevelType w:val="hybridMultilevel"/>
    <w:tmpl w:val="CF241262"/>
    <w:lvl w:ilvl="0" w:tplc="757803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7140799"/>
    <w:multiLevelType w:val="hybridMultilevel"/>
    <w:tmpl w:val="B8C61874"/>
    <w:lvl w:ilvl="0" w:tplc="56B269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oug Phillips">
    <w15:presenceInfo w15:providerId="None" w15:userId="Doug Phillip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D4"/>
    <w:rsid w:val="000017BC"/>
    <w:rsid w:val="00003C83"/>
    <w:rsid w:val="00006A8F"/>
    <w:rsid w:val="00017938"/>
    <w:rsid w:val="000228C2"/>
    <w:rsid w:val="000229D6"/>
    <w:rsid w:val="0002541C"/>
    <w:rsid w:val="000269B1"/>
    <w:rsid w:val="00027D4F"/>
    <w:rsid w:val="000330A2"/>
    <w:rsid w:val="0003650B"/>
    <w:rsid w:val="000403F4"/>
    <w:rsid w:val="00043304"/>
    <w:rsid w:val="00052455"/>
    <w:rsid w:val="000527CB"/>
    <w:rsid w:val="00053081"/>
    <w:rsid w:val="0005318B"/>
    <w:rsid w:val="000619BE"/>
    <w:rsid w:val="000656E2"/>
    <w:rsid w:val="000659E6"/>
    <w:rsid w:val="00071E81"/>
    <w:rsid w:val="00074C7D"/>
    <w:rsid w:val="0007630F"/>
    <w:rsid w:val="00082150"/>
    <w:rsid w:val="00082475"/>
    <w:rsid w:val="000836E7"/>
    <w:rsid w:val="00084B8C"/>
    <w:rsid w:val="00090373"/>
    <w:rsid w:val="00091B13"/>
    <w:rsid w:val="00092F34"/>
    <w:rsid w:val="000941B6"/>
    <w:rsid w:val="000A12EE"/>
    <w:rsid w:val="000A146A"/>
    <w:rsid w:val="000B0342"/>
    <w:rsid w:val="000B1820"/>
    <w:rsid w:val="000B2490"/>
    <w:rsid w:val="000B4545"/>
    <w:rsid w:val="000C07C7"/>
    <w:rsid w:val="000C1E1E"/>
    <w:rsid w:val="000C297C"/>
    <w:rsid w:val="000C3FAE"/>
    <w:rsid w:val="000C7AB4"/>
    <w:rsid w:val="000D1E90"/>
    <w:rsid w:val="000D22B2"/>
    <w:rsid w:val="000D24A5"/>
    <w:rsid w:val="000D29FF"/>
    <w:rsid w:val="000D49CB"/>
    <w:rsid w:val="000D54C1"/>
    <w:rsid w:val="000E1C19"/>
    <w:rsid w:val="000E3336"/>
    <w:rsid w:val="000F081F"/>
    <w:rsid w:val="000F0E02"/>
    <w:rsid w:val="0010033E"/>
    <w:rsid w:val="00103260"/>
    <w:rsid w:val="00107E1D"/>
    <w:rsid w:val="0011689D"/>
    <w:rsid w:val="00117C29"/>
    <w:rsid w:val="001279C4"/>
    <w:rsid w:val="00131131"/>
    <w:rsid w:val="00132514"/>
    <w:rsid w:val="0013579E"/>
    <w:rsid w:val="00135C7E"/>
    <w:rsid w:val="001424C8"/>
    <w:rsid w:val="00143BDF"/>
    <w:rsid w:val="00150588"/>
    <w:rsid w:val="0015219F"/>
    <w:rsid w:val="00157404"/>
    <w:rsid w:val="0016054F"/>
    <w:rsid w:val="0016398B"/>
    <w:rsid w:val="00164B62"/>
    <w:rsid w:val="00164EDB"/>
    <w:rsid w:val="00171B19"/>
    <w:rsid w:val="00171BDE"/>
    <w:rsid w:val="00171E9C"/>
    <w:rsid w:val="001723A1"/>
    <w:rsid w:val="001739F5"/>
    <w:rsid w:val="001740C4"/>
    <w:rsid w:val="00180220"/>
    <w:rsid w:val="00181575"/>
    <w:rsid w:val="001836C7"/>
    <w:rsid w:val="00187228"/>
    <w:rsid w:val="00194EEF"/>
    <w:rsid w:val="0019531D"/>
    <w:rsid w:val="00197ADC"/>
    <w:rsid w:val="001A1DBD"/>
    <w:rsid w:val="001A1E99"/>
    <w:rsid w:val="001A28E9"/>
    <w:rsid w:val="001B0189"/>
    <w:rsid w:val="001B37A6"/>
    <w:rsid w:val="001B41BE"/>
    <w:rsid w:val="001B57DF"/>
    <w:rsid w:val="001C39CA"/>
    <w:rsid w:val="001C4482"/>
    <w:rsid w:val="001C52A4"/>
    <w:rsid w:val="001C606C"/>
    <w:rsid w:val="001C779F"/>
    <w:rsid w:val="001D2843"/>
    <w:rsid w:val="001D343D"/>
    <w:rsid w:val="001D3608"/>
    <w:rsid w:val="001D4EE5"/>
    <w:rsid w:val="001D6123"/>
    <w:rsid w:val="001D7DE6"/>
    <w:rsid w:val="001E2AAC"/>
    <w:rsid w:val="001E6E00"/>
    <w:rsid w:val="001E7D68"/>
    <w:rsid w:val="001F01CB"/>
    <w:rsid w:val="001F11EE"/>
    <w:rsid w:val="001F1DEB"/>
    <w:rsid w:val="001F4397"/>
    <w:rsid w:val="001F46EB"/>
    <w:rsid w:val="00201598"/>
    <w:rsid w:val="00202445"/>
    <w:rsid w:val="002045F5"/>
    <w:rsid w:val="00204DE2"/>
    <w:rsid w:val="00205BF9"/>
    <w:rsid w:val="0020608E"/>
    <w:rsid w:val="002076D1"/>
    <w:rsid w:val="002105B9"/>
    <w:rsid w:val="00213014"/>
    <w:rsid w:val="002143F3"/>
    <w:rsid w:val="00215CFE"/>
    <w:rsid w:val="0021632C"/>
    <w:rsid w:val="002164BD"/>
    <w:rsid w:val="00217312"/>
    <w:rsid w:val="0021761B"/>
    <w:rsid w:val="002213A0"/>
    <w:rsid w:val="002223C1"/>
    <w:rsid w:val="0022569E"/>
    <w:rsid w:val="00225B66"/>
    <w:rsid w:val="00233F04"/>
    <w:rsid w:val="00234230"/>
    <w:rsid w:val="00234810"/>
    <w:rsid w:val="00236634"/>
    <w:rsid w:val="002433AA"/>
    <w:rsid w:val="00244789"/>
    <w:rsid w:val="00250006"/>
    <w:rsid w:val="00251BE6"/>
    <w:rsid w:val="0025324C"/>
    <w:rsid w:val="00253D87"/>
    <w:rsid w:val="00254E78"/>
    <w:rsid w:val="0026268E"/>
    <w:rsid w:val="00266635"/>
    <w:rsid w:val="00270FA9"/>
    <w:rsid w:val="0028207C"/>
    <w:rsid w:val="00282D22"/>
    <w:rsid w:val="0029580A"/>
    <w:rsid w:val="002A1682"/>
    <w:rsid w:val="002A69A9"/>
    <w:rsid w:val="002A6ECC"/>
    <w:rsid w:val="002B3D85"/>
    <w:rsid w:val="002B5B37"/>
    <w:rsid w:val="002B7B94"/>
    <w:rsid w:val="002C0B44"/>
    <w:rsid w:val="002C0FD9"/>
    <w:rsid w:val="002C14D4"/>
    <w:rsid w:val="002C24F9"/>
    <w:rsid w:val="002E2457"/>
    <w:rsid w:val="002E4F92"/>
    <w:rsid w:val="002E76BE"/>
    <w:rsid w:val="002F1AD8"/>
    <w:rsid w:val="002F5E4A"/>
    <w:rsid w:val="00301679"/>
    <w:rsid w:val="00304C2F"/>
    <w:rsid w:val="003061E9"/>
    <w:rsid w:val="0030664A"/>
    <w:rsid w:val="003127B5"/>
    <w:rsid w:val="0031284D"/>
    <w:rsid w:val="0031289E"/>
    <w:rsid w:val="0032288B"/>
    <w:rsid w:val="00322CC8"/>
    <w:rsid w:val="00325554"/>
    <w:rsid w:val="00327164"/>
    <w:rsid w:val="00330375"/>
    <w:rsid w:val="00333CBD"/>
    <w:rsid w:val="00334167"/>
    <w:rsid w:val="003373B9"/>
    <w:rsid w:val="0034355C"/>
    <w:rsid w:val="003445E3"/>
    <w:rsid w:val="003600AB"/>
    <w:rsid w:val="0036080B"/>
    <w:rsid w:val="003646D5"/>
    <w:rsid w:val="00365C0E"/>
    <w:rsid w:val="00366012"/>
    <w:rsid w:val="00371BA8"/>
    <w:rsid w:val="00372D7D"/>
    <w:rsid w:val="0037547F"/>
    <w:rsid w:val="00376BFA"/>
    <w:rsid w:val="003834D0"/>
    <w:rsid w:val="00384EB1"/>
    <w:rsid w:val="0039404E"/>
    <w:rsid w:val="003A192A"/>
    <w:rsid w:val="003A1BDD"/>
    <w:rsid w:val="003A54FF"/>
    <w:rsid w:val="003B6915"/>
    <w:rsid w:val="003B6CA5"/>
    <w:rsid w:val="003B741D"/>
    <w:rsid w:val="003C3F72"/>
    <w:rsid w:val="003C5337"/>
    <w:rsid w:val="003C5F7C"/>
    <w:rsid w:val="003D0CA3"/>
    <w:rsid w:val="003D1EA6"/>
    <w:rsid w:val="003D627F"/>
    <w:rsid w:val="003D68CC"/>
    <w:rsid w:val="003D72BA"/>
    <w:rsid w:val="003E1730"/>
    <w:rsid w:val="003E460D"/>
    <w:rsid w:val="003E4A65"/>
    <w:rsid w:val="003E4F01"/>
    <w:rsid w:val="003F2278"/>
    <w:rsid w:val="00400C5B"/>
    <w:rsid w:val="00402861"/>
    <w:rsid w:val="0040558F"/>
    <w:rsid w:val="004069F0"/>
    <w:rsid w:val="004119AB"/>
    <w:rsid w:val="004136D1"/>
    <w:rsid w:val="0041659B"/>
    <w:rsid w:val="00416E52"/>
    <w:rsid w:val="00420057"/>
    <w:rsid w:val="00420483"/>
    <w:rsid w:val="00420926"/>
    <w:rsid w:val="00420F7B"/>
    <w:rsid w:val="0042704C"/>
    <w:rsid w:val="00427A58"/>
    <w:rsid w:val="00430BAA"/>
    <w:rsid w:val="00435C21"/>
    <w:rsid w:val="00436265"/>
    <w:rsid w:val="004416CD"/>
    <w:rsid w:val="00442B82"/>
    <w:rsid w:val="004501B0"/>
    <w:rsid w:val="00450C60"/>
    <w:rsid w:val="004535B7"/>
    <w:rsid w:val="00456D19"/>
    <w:rsid w:val="004614E7"/>
    <w:rsid w:val="00461B2B"/>
    <w:rsid w:val="0046250A"/>
    <w:rsid w:val="00462724"/>
    <w:rsid w:val="004629E0"/>
    <w:rsid w:val="0046483B"/>
    <w:rsid w:val="00465946"/>
    <w:rsid w:val="004659C3"/>
    <w:rsid w:val="004735E2"/>
    <w:rsid w:val="00474376"/>
    <w:rsid w:val="004750C7"/>
    <w:rsid w:val="00476C3A"/>
    <w:rsid w:val="0048185A"/>
    <w:rsid w:val="00484279"/>
    <w:rsid w:val="004858D4"/>
    <w:rsid w:val="00485B33"/>
    <w:rsid w:val="0049052E"/>
    <w:rsid w:val="00490DB1"/>
    <w:rsid w:val="0049177C"/>
    <w:rsid w:val="00492C01"/>
    <w:rsid w:val="004A0791"/>
    <w:rsid w:val="004A0E23"/>
    <w:rsid w:val="004A0E81"/>
    <w:rsid w:val="004A3608"/>
    <w:rsid w:val="004A6C3C"/>
    <w:rsid w:val="004A79CE"/>
    <w:rsid w:val="004B01DE"/>
    <w:rsid w:val="004B072A"/>
    <w:rsid w:val="004B1784"/>
    <w:rsid w:val="004C7926"/>
    <w:rsid w:val="004C7D86"/>
    <w:rsid w:val="004D2E30"/>
    <w:rsid w:val="004D40FE"/>
    <w:rsid w:val="004D6E15"/>
    <w:rsid w:val="004E7EE1"/>
    <w:rsid w:val="004F0DD7"/>
    <w:rsid w:val="004F0E44"/>
    <w:rsid w:val="004F13BC"/>
    <w:rsid w:val="004F51A4"/>
    <w:rsid w:val="004F52F1"/>
    <w:rsid w:val="004F6523"/>
    <w:rsid w:val="004F77F8"/>
    <w:rsid w:val="00505AC4"/>
    <w:rsid w:val="005071D7"/>
    <w:rsid w:val="00510027"/>
    <w:rsid w:val="005238A6"/>
    <w:rsid w:val="00523B5D"/>
    <w:rsid w:val="00523DFC"/>
    <w:rsid w:val="0052580C"/>
    <w:rsid w:val="00530C8E"/>
    <w:rsid w:val="00532992"/>
    <w:rsid w:val="00536D95"/>
    <w:rsid w:val="00536EED"/>
    <w:rsid w:val="00541F84"/>
    <w:rsid w:val="0054532A"/>
    <w:rsid w:val="005459D1"/>
    <w:rsid w:val="00547015"/>
    <w:rsid w:val="00553926"/>
    <w:rsid w:val="00554ED8"/>
    <w:rsid w:val="00556472"/>
    <w:rsid w:val="00557282"/>
    <w:rsid w:val="005662E1"/>
    <w:rsid w:val="00570867"/>
    <w:rsid w:val="00570F4A"/>
    <w:rsid w:val="0057147E"/>
    <w:rsid w:val="0057148A"/>
    <w:rsid w:val="00571B1F"/>
    <w:rsid w:val="00575C86"/>
    <w:rsid w:val="005765C4"/>
    <w:rsid w:val="00576D90"/>
    <w:rsid w:val="00581B74"/>
    <w:rsid w:val="005829CA"/>
    <w:rsid w:val="0059433F"/>
    <w:rsid w:val="00594A73"/>
    <w:rsid w:val="00597A5B"/>
    <w:rsid w:val="005A0ECD"/>
    <w:rsid w:val="005A3812"/>
    <w:rsid w:val="005B1739"/>
    <w:rsid w:val="005B1E90"/>
    <w:rsid w:val="005B2842"/>
    <w:rsid w:val="005B4A26"/>
    <w:rsid w:val="005C2CF7"/>
    <w:rsid w:val="005C4ACF"/>
    <w:rsid w:val="005C5C6E"/>
    <w:rsid w:val="005C79DB"/>
    <w:rsid w:val="005D2A8E"/>
    <w:rsid w:val="005D536A"/>
    <w:rsid w:val="005E3C66"/>
    <w:rsid w:val="005E4CAD"/>
    <w:rsid w:val="005E5A28"/>
    <w:rsid w:val="005F25EE"/>
    <w:rsid w:val="005F32BD"/>
    <w:rsid w:val="005F63F8"/>
    <w:rsid w:val="005F7C02"/>
    <w:rsid w:val="006008BE"/>
    <w:rsid w:val="00600A61"/>
    <w:rsid w:val="00601951"/>
    <w:rsid w:val="00607D2A"/>
    <w:rsid w:val="0061111F"/>
    <w:rsid w:val="006200B5"/>
    <w:rsid w:val="00621408"/>
    <w:rsid w:val="00622024"/>
    <w:rsid w:val="00622243"/>
    <w:rsid w:val="00622B5E"/>
    <w:rsid w:val="006267F6"/>
    <w:rsid w:val="00626ED3"/>
    <w:rsid w:val="006271E9"/>
    <w:rsid w:val="00631966"/>
    <w:rsid w:val="006324F9"/>
    <w:rsid w:val="00632D5B"/>
    <w:rsid w:val="00641DA1"/>
    <w:rsid w:val="00645A13"/>
    <w:rsid w:val="006468AF"/>
    <w:rsid w:val="006517F8"/>
    <w:rsid w:val="00654C62"/>
    <w:rsid w:val="00656118"/>
    <w:rsid w:val="00656894"/>
    <w:rsid w:val="00662CDC"/>
    <w:rsid w:val="00663899"/>
    <w:rsid w:val="00663F87"/>
    <w:rsid w:val="006665D9"/>
    <w:rsid w:val="006709BD"/>
    <w:rsid w:val="00671C94"/>
    <w:rsid w:val="006747FD"/>
    <w:rsid w:val="0067555F"/>
    <w:rsid w:val="0068323B"/>
    <w:rsid w:val="00684065"/>
    <w:rsid w:val="00690214"/>
    <w:rsid w:val="006925E5"/>
    <w:rsid w:val="00695BFC"/>
    <w:rsid w:val="00695C66"/>
    <w:rsid w:val="00696FBF"/>
    <w:rsid w:val="006A4C6D"/>
    <w:rsid w:val="006A6F88"/>
    <w:rsid w:val="006B07F2"/>
    <w:rsid w:val="006B1986"/>
    <w:rsid w:val="006B1B02"/>
    <w:rsid w:val="006B2B9B"/>
    <w:rsid w:val="006B373D"/>
    <w:rsid w:val="006B5191"/>
    <w:rsid w:val="006C2773"/>
    <w:rsid w:val="006D05F6"/>
    <w:rsid w:val="006D1C07"/>
    <w:rsid w:val="006D62AD"/>
    <w:rsid w:val="006D6E7C"/>
    <w:rsid w:val="006E0480"/>
    <w:rsid w:val="006E560D"/>
    <w:rsid w:val="006E6302"/>
    <w:rsid w:val="006E7A0F"/>
    <w:rsid w:val="006F1447"/>
    <w:rsid w:val="006F708F"/>
    <w:rsid w:val="007043B5"/>
    <w:rsid w:val="00710FA0"/>
    <w:rsid w:val="00715A6D"/>
    <w:rsid w:val="00715B92"/>
    <w:rsid w:val="007245F4"/>
    <w:rsid w:val="007249F5"/>
    <w:rsid w:val="00734022"/>
    <w:rsid w:val="00745B4E"/>
    <w:rsid w:val="00747A63"/>
    <w:rsid w:val="007501E2"/>
    <w:rsid w:val="00751522"/>
    <w:rsid w:val="007541A7"/>
    <w:rsid w:val="007568C4"/>
    <w:rsid w:val="00760D76"/>
    <w:rsid w:val="00771AA5"/>
    <w:rsid w:val="0078111E"/>
    <w:rsid w:val="007821FE"/>
    <w:rsid w:val="00785069"/>
    <w:rsid w:val="00791D7D"/>
    <w:rsid w:val="0079579F"/>
    <w:rsid w:val="007A1679"/>
    <w:rsid w:val="007A2CD9"/>
    <w:rsid w:val="007A43D5"/>
    <w:rsid w:val="007A4D5D"/>
    <w:rsid w:val="007A58A7"/>
    <w:rsid w:val="007A6567"/>
    <w:rsid w:val="007A760C"/>
    <w:rsid w:val="007B203E"/>
    <w:rsid w:val="007B5213"/>
    <w:rsid w:val="007B6575"/>
    <w:rsid w:val="007C2758"/>
    <w:rsid w:val="007C3109"/>
    <w:rsid w:val="007C3172"/>
    <w:rsid w:val="007D2083"/>
    <w:rsid w:val="007D3088"/>
    <w:rsid w:val="007D31AB"/>
    <w:rsid w:val="007D5058"/>
    <w:rsid w:val="007D5A30"/>
    <w:rsid w:val="007D6B20"/>
    <w:rsid w:val="007D6FE4"/>
    <w:rsid w:val="007D7536"/>
    <w:rsid w:val="007E024D"/>
    <w:rsid w:val="007E194C"/>
    <w:rsid w:val="007E19BD"/>
    <w:rsid w:val="007E3DBE"/>
    <w:rsid w:val="007E4C85"/>
    <w:rsid w:val="007E6889"/>
    <w:rsid w:val="007F355F"/>
    <w:rsid w:val="007F70A0"/>
    <w:rsid w:val="00800B16"/>
    <w:rsid w:val="008027EE"/>
    <w:rsid w:val="00804E79"/>
    <w:rsid w:val="00805006"/>
    <w:rsid w:val="0080592F"/>
    <w:rsid w:val="008104EA"/>
    <w:rsid w:val="00810855"/>
    <w:rsid w:val="00810E52"/>
    <w:rsid w:val="00814957"/>
    <w:rsid w:val="0081623D"/>
    <w:rsid w:val="0082178D"/>
    <w:rsid w:val="00822A51"/>
    <w:rsid w:val="0082309D"/>
    <w:rsid w:val="00835D00"/>
    <w:rsid w:val="00841D1A"/>
    <w:rsid w:val="00844A81"/>
    <w:rsid w:val="00846029"/>
    <w:rsid w:val="0085143C"/>
    <w:rsid w:val="008535C5"/>
    <w:rsid w:val="0086446F"/>
    <w:rsid w:val="00865624"/>
    <w:rsid w:val="008804C1"/>
    <w:rsid w:val="00880600"/>
    <w:rsid w:val="00882294"/>
    <w:rsid w:val="00885EE8"/>
    <w:rsid w:val="00886B57"/>
    <w:rsid w:val="00887221"/>
    <w:rsid w:val="008875F5"/>
    <w:rsid w:val="0089345B"/>
    <w:rsid w:val="00894A4B"/>
    <w:rsid w:val="008A0EB0"/>
    <w:rsid w:val="008A4B55"/>
    <w:rsid w:val="008B4DEC"/>
    <w:rsid w:val="008C304D"/>
    <w:rsid w:val="008C3E62"/>
    <w:rsid w:val="008C57C5"/>
    <w:rsid w:val="008C5CCF"/>
    <w:rsid w:val="008D0308"/>
    <w:rsid w:val="008E52FD"/>
    <w:rsid w:val="008E5DF0"/>
    <w:rsid w:val="008E5E96"/>
    <w:rsid w:val="008F1407"/>
    <w:rsid w:val="008F1F08"/>
    <w:rsid w:val="008F623A"/>
    <w:rsid w:val="008F7B4D"/>
    <w:rsid w:val="00901371"/>
    <w:rsid w:val="00904004"/>
    <w:rsid w:val="009069C8"/>
    <w:rsid w:val="00914AE9"/>
    <w:rsid w:val="00917C25"/>
    <w:rsid w:val="00922A98"/>
    <w:rsid w:val="00923D35"/>
    <w:rsid w:val="00923F65"/>
    <w:rsid w:val="009316D0"/>
    <w:rsid w:val="00931B3C"/>
    <w:rsid w:val="009336B8"/>
    <w:rsid w:val="00933920"/>
    <w:rsid w:val="00934B99"/>
    <w:rsid w:val="00935BB2"/>
    <w:rsid w:val="00936EF4"/>
    <w:rsid w:val="00937117"/>
    <w:rsid w:val="00937E57"/>
    <w:rsid w:val="0094502C"/>
    <w:rsid w:val="00945423"/>
    <w:rsid w:val="00945E3D"/>
    <w:rsid w:val="00946E60"/>
    <w:rsid w:val="00947403"/>
    <w:rsid w:val="0095168E"/>
    <w:rsid w:val="009517D8"/>
    <w:rsid w:val="009536F5"/>
    <w:rsid w:val="0095423B"/>
    <w:rsid w:val="0095726B"/>
    <w:rsid w:val="009575B3"/>
    <w:rsid w:val="00957E90"/>
    <w:rsid w:val="00961963"/>
    <w:rsid w:val="00962802"/>
    <w:rsid w:val="00962B3A"/>
    <w:rsid w:val="00963624"/>
    <w:rsid w:val="0096367A"/>
    <w:rsid w:val="00965E9B"/>
    <w:rsid w:val="00965FA9"/>
    <w:rsid w:val="0096715D"/>
    <w:rsid w:val="00970CB3"/>
    <w:rsid w:val="0097125E"/>
    <w:rsid w:val="00971B31"/>
    <w:rsid w:val="0097546B"/>
    <w:rsid w:val="009834DB"/>
    <w:rsid w:val="009A199B"/>
    <w:rsid w:val="009A4AF6"/>
    <w:rsid w:val="009B35F5"/>
    <w:rsid w:val="009B4A0E"/>
    <w:rsid w:val="009C1DA9"/>
    <w:rsid w:val="009C21C2"/>
    <w:rsid w:val="009D01AD"/>
    <w:rsid w:val="009D2B55"/>
    <w:rsid w:val="009D4D6B"/>
    <w:rsid w:val="009E0FA6"/>
    <w:rsid w:val="009E573B"/>
    <w:rsid w:val="009F178E"/>
    <w:rsid w:val="009F3414"/>
    <w:rsid w:val="009F580F"/>
    <w:rsid w:val="009F5A56"/>
    <w:rsid w:val="00A00B4D"/>
    <w:rsid w:val="00A00FAB"/>
    <w:rsid w:val="00A01679"/>
    <w:rsid w:val="00A127D5"/>
    <w:rsid w:val="00A13B51"/>
    <w:rsid w:val="00A150CD"/>
    <w:rsid w:val="00A16089"/>
    <w:rsid w:val="00A23598"/>
    <w:rsid w:val="00A24A5C"/>
    <w:rsid w:val="00A31CF9"/>
    <w:rsid w:val="00A40022"/>
    <w:rsid w:val="00A4084E"/>
    <w:rsid w:val="00A4714F"/>
    <w:rsid w:val="00A5137F"/>
    <w:rsid w:val="00A5404F"/>
    <w:rsid w:val="00A54A87"/>
    <w:rsid w:val="00A609AE"/>
    <w:rsid w:val="00A62639"/>
    <w:rsid w:val="00A67602"/>
    <w:rsid w:val="00A730A9"/>
    <w:rsid w:val="00A766FA"/>
    <w:rsid w:val="00A77B2F"/>
    <w:rsid w:val="00A83F45"/>
    <w:rsid w:val="00A84CEF"/>
    <w:rsid w:val="00A86159"/>
    <w:rsid w:val="00A866A7"/>
    <w:rsid w:val="00A954A5"/>
    <w:rsid w:val="00A96520"/>
    <w:rsid w:val="00A97FC2"/>
    <w:rsid w:val="00AA10A5"/>
    <w:rsid w:val="00AB057C"/>
    <w:rsid w:val="00AB3703"/>
    <w:rsid w:val="00AD4D3B"/>
    <w:rsid w:val="00AD6815"/>
    <w:rsid w:val="00AD782A"/>
    <w:rsid w:val="00AE0004"/>
    <w:rsid w:val="00AE0EBD"/>
    <w:rsid w:val="00AE13BB"/>
    <w:rsid w:val="00AE5644"/>
    <w:rsid w:val="00AF3491"/>
    <w:rsid w:val="00AF719B"/>
    <w:rsid w:val="00B009C4"/>
    <w:rsid w:val="00B00CA9"/>
    <w:rsid w:val="00B024DA"/>
    <w:rsid w:val="00B02D87"/>
    <w:rsid w:val="00B04632"/>
    <w:rsid w:val="00B05332"/>
    <w:rsid w:val="00B10FDC"/>
    <w:rsid w:val="00B12667"/>
    <w:rsid w:val="00B12ADA"/>
    <w:rsid w:val="00B15224"/>
    <w:rsid w:val="00B15355"/>
    <w:rsid w:val="00B21241"/>
    <w:rsid w:val="00B26416"/>
    <w:rsid w:val="00B277B3"/>
    <w:rsid w:val="00B302FB"/>
    <w:rsid w:val="00B31FF1"/>
    <w:rsid w:val="00B32B46"/>
    <w:rsid w:val="00B3549B"/>
    <w:rsid w:val="00B42918"/>
    <w:rsid w:val="00B43A13"/>
    <w:rsid w:val="00B44692"/>
    <w:rsid w:val="00B454E7"/>
    <w:rsid w:val="00B552EC"/>
    <w:rsid w:val="00B6042A"/>
    <w:rsid w:val="00B61EBB"/>
    <w:rsid w:val="00B64B76"/>
    <w:rsid w:val="00B7040E"/>
    <w:rsid w:val="00B7165B"/>
    <w:rsid w:val="00B7232E"/>
    <w:rsid w:val="00B727F3"/>
    <w:rsid w:val="00B72935"/>
    <w:rsid w:val="00B741EB"/>
    <w:rsid w:val="00B763D5"/>
    <w:rsid w:val="00B7770E"/>
    <w:rsid w:val="00B84B85"/>
    <w:rsid w:val="00B93389"/>
    <w:rsid w:val="00B934E5"/>
    <w:rsid w:val="00B94D74"/>
    <w:rsid w:val="00BA130F"/>
    <w:rsid w:val="00BA22E2"/>
    <w:rsid w:val="00BA6467"/>
    <w:rsid w:val="00BB6968"/>
    <w:rsid w:val="00BB718B"/>
    <w:rsid w:val="00BC1F58"/>
    <w:rsid w:val="00BD2567"/>
    <w:rsid w:val="00BD5D44"/>
    <w:rsid w:val="00BD67ED"/>
    <w:rsid w:val="00BD7301"/>
    <w:rsid w:val="00BE72A9"/>
    <w:rsid w:val="00BF0C8B"/>
    <w:rsid w:val="00BF0E9A"/>
    <w:rsid w:val="00BF1BF8"/>
    <w:rsid w:val="00BF65EA"/>
    <w:rsid w:val="00BF7501"/>
    <w:rsid w:val="00C051D6"/>
    <w:rsid w:val="00C1508E"/>
    <w:rsid w:val="00C161A3"/>
    <w:rsid w:val="00C17F4C"/>
    <w:rsid w:val="00C22372"/>
    <w:rsid w:val="00C24C93"/>
    <w:rsid w:val="00C32919"/>
    <w:rsid w:val="00C4559F"/>
    <w:rsid w:val="00C55FE3"/>
    <w:rsid w:val="00C561F6"/>
    <w:rsid w:val="00C56D89"/>
    <w:rsid w:val="00C570F5"/>
    <w:rsid w:val="00C576CD"/>
    <w:rsid w:val="00C57ED4"/>
    <w:rsid w:val="00C63C97"/>
    <w:rsid w:val="00C64E89"/>
    <w:rsid w:val="00C653FE"/>
    <w:rsid w:val="00C72552"/>
    <w:rsid w:val="00C738A9"/>
    <w:rsid w:val="00C804CF"/>
    <w:rsid w:val="00C835DC"/>
    <w:rsid w:val="00C841FC"/>
    <w:rsid w:val="00C85763"/>
    <w:rsid w:val="00C8754D"/>
    <w:rsid w:val="00C95474"/>
    <w:rsid w:val="00C96244"/>
    <w:rsid w:val="00C96335"/>
    <w:rsid w:val="00CA0C99"/>
    <w:rsid w:val="00CA2171"/>
    <w:rsid w:val="00CA455F"/>
    <w:rsid w:val="00CA4A95"/>
    <w:rsid w:val="00CA6675"/>
    <w:rsid w:val="00CB3F4D"/>
    <w:rsid w:val="00CC02C8"/>
    <w:rsid w:val="00CC0EE3"/>
    <w:rsid w:val="00CC2FE9"/>
    <w:rsid w:val="00CC571A"/>
    <w:rsid w:val="00CC660D"/>
    <w:rsid w:val="00CD0E2E"/>
    <w:rsid w:val="00CE0660"/>
    <w:rsid w:val="00CE0B97"/>
    <w:rsid w:val="00CE10D6"/>
    <w:rsid w:val="00CE3BC8"/>
    <w:rsid w:val="00CE3C0D"/>
    <w:rsid w:val="00CE4AB3"/>
    <w:rsid w:val="00CE60D8"/>
    <w:rsid w:val="00CF09D5"/>
    <w:rsid w:val="00CF0C8F"/>
    <w:rsid w:val="00CF1CC1"/>
    <w:rsid w:val="00CF271F"/>
    <w:rsid w:val="00CF3D9E"/>
    <w:rsid w:val="00CF5CB3"/>
    <w:rsid w:val="00D05B82"/>
    <w:rsid w:val="00D07915"/>
    <w:rsid w:val="00D12A64"/>
    <w:rsid w:val="00D12F3A"/>
    <w:rsid w:val="00D136F5"/>
    <w:rsid w:val="00D13BEC"/>
    <w:rsid w:val="00D1460C"/>
    <w:rsid w:val="00D2151D"/>
    <w:rsid w:val="00D277F7"/>
    <w:rsid w:val="00D30665"/>
    <w:rsid w:val="00D34988"/>
    <w:rsid w:val="00D411C1"/>
    <w:rsid w:val="00D4338E"/>
    <w:rsid w:val="00D43779"/>
    <w:rsid w:val="00D448C6"/>
    <w:rsid w:val="00D44D8B"/>
    <w:rsid w:val="00D45381"/>
    <w:rsid w:val="00D459FE"/>
    <w:rsid w:val="00D46269"/>
    <w:rsid w:val="00D51EEE"/>
    <w:rsid w:val="00D520E2"/>
    <w:rsid w:val="00D52506"/>
    <w:rsid w:val="00D55792"/>
    <w:rsid w:val="00D61873"/>
    <w:rsid w:val="00D64AC5"/>
    <w:rsid w:val="00D6516B"/>
    <w:rsid w:val="00D654C8"/>
    <w:rsid w:val="00D66544"/>
    <w:rsid w:val="00D701CA"/>
    <w:rsid w:val="00D70E6B"/>
    <w:rsid w:val="00D71263"/>
    <w:rsid w:val="00D71796"/>
    <w:rsid w:val="00D72CC7"/>
    <w:rsid w:val="00D743D4"/>
    <w:rsid w:val="00D750EF"/>
    <w:rsid w:val="00D77186"/>
    <w:rsid w:val="00D96D84"/>
    <w:rsid w:val="00DA46F0"/>
    <w:rsid w:val="00DA5699"/>
    <w:rsid w:val="00DA7920"/>
    <w:rsid w:val="00DB2F83"/>
    <w:rsid w:val="00DB4B70"/>
    <w:rsid w:val="00DB6A5F"/>
    <w:rsid w:val="00DC1B96"/>
    <w:rsid w:val="00DC2A28"/>
    <w:rsid w:val="00DC2CD1"/>
    <w:rsid w:val="00DC4F39"/>
    <w:rsid w:val="00DC731C"/>
    <w:rsid w:val="00DC7C55"/>
    <w:rsid w:val="00DC7E6A"/>
    <w:rsid w:val="00DC7E7F"/>
    <w:rsid w:val="00DE5241"/>
    <w:rsid w:val="00DE52DF"/>
    <w:rsid w:val="00DF2CBE"/>
    <w:rsid w:val="00DF2FC0"/>
    <w:rsid w:val="00E00707"/>
    <w:rsid w:val="00E01645"/>
    <w:rsid w:val="00E04BF7"/>
    <w:rsid w:val="00E07BCF"/>
    <w:rsid w:val="00E10D18"/>
    <w:rsid w:val="00E14DD8"/>
    <w:rsid w:val="00E16CBA"/>
    <w:rsid w:val="00E25989"/>
    <w:rsid w:val="00E31117"/>
    <w:rsid w:val="00E32207"/>
    <w:rsid w:val="00E32FF2"/>
    <w:rsid w:val="00E333CD"/>
    <w:rsid w:val="00E3455D"/>
    <w:rsid w:val="00E35236"/>
    <w:rsid w:val="00E36B02"/>
    <w:rsid w:val="00E466AA"/>
    <w:rsid w:val="00E521BE"/>
    <w:rsid w:val="00E5305B"/>
    <w:rsid w:val="00E54A60"/>
    <w:rsid w:val="00E55174"/>
    <w:rsid w:val="00E6178E"/>
    <w:rsid w:val="00E62EDB"/>
    <w:rsid w:val="00E6537B"/>
    <w:rsid w:val="00E672B6"/>
    <w:rsid w:val="00E742B6"/>
    <w:rsid w:val="00E7478E"/>
    <w:rsid w:val="00E76F1E"/>
    <w:rsid w:val="00E76FF0"/>
    <w:rsid w:val="00E8385A"/>
    <w:rsid w:val="00E840E6"/>
    <w:rsid w:val="00E85FFB"/>
    <w:rsid w:val="00E87BC5"/>
    <w:rsid w:val="00E94019"/>
    <w:rsid w:val="00EA18F1"/>
    <w:rsid w:val="00EA37DC"/>
    <w:rsid w:val="00EB00F3"/>
    <w:rsid w:val="00EB2D5E"/>
    <w:rsid w:val="00EB3DF0"/>
    <w:rsid w:val="00EB5122"/>
    <w:rsid w:val="00EB52C6"/>
    <w:rsid w:val="00EB60EF"/>
    <w:rsid w:val="00EB66D2"/>
    <w:rsid w:val="00EB6CA9"/>
    <w:rsid w:val="00EB7BDE"/>
    <w:rsid w:val="00EC0183"/>
    <w:rsid w:val="00EC1586"/>
    <w:rsid w:val="00EC6DE1"/>
    <w:rsid w:val="00ED0BE8"/>
    <w:rsid w:val="00ED5FF1"/>
    <w:rsid w:val="00ED7760"/>
    <w:rsid w:val="00EE4EBA"/>
    <w:rsid w:val="00EE6DA9"/>
    <w:rsid w:val="00EF0508"/>
    <w:rsid w:val="00EF3B65"/>
    <w:rsid w:val="00EF4B88"/>
    <w:rsid w:val="00EF67FE"/>
    <w:rsid w:val="00EF6C3D"/>
    <w:rsid w:val="00F006F4"/>
    <w:rsid w:val="00F016CA"/>
    <w:rsid w:val="00F020D0"/>
    <w:rsid w:val="00F05306"/>
    <w:rsid w:val="00F0604A"/>
    <w:rsid w:val="00F122FB"/>
    <w:rsid w:val="00F1504C"/>
    <w:rsid w:val="00F17A8E"/>
    <w:rsid w:val="00F206E7"/>
    <w:rsid w:val="00F26E58"/>
    <w:rsid w:val="00F3670E"/>
    <w:rsid w:val="00F418CB"/>
    <w:rsid w:val="00F41A1D"/>
    <w:rsid w:val="00F52C48"/>
    <w:rsid w:val="00F5370C"/>
    <w:rsid w:val="00F53EE2"/>
    <w:rsid w:val="00F55341"/>
    <w:rsid w:val="00F620D2"/>
    <w:rsid w:val="00F6562A"/>
    <w:rsid w:val="00F65B22"/>
    <w:rsid w:val="00F66CFD"/>
    <w:rsid w:val="00F671D7"/>
    <w:rsid w:val="00F673CA"/>
    <w:rsid w:val="00F72CFC"/>
    <w:rsid w:val="00F7513A"/>
    <w:rsid w:val="00F81877"/>
    <w:rsid w:val="00F83225"/>
    <w:rsid w:val="00F86FBC"/>
    <w:rsid w:val="00F87552"/>
    <w:rsid w:val="00F87836"/>
    <w:rsid w:val="00F90FA2"/>
    <w:rsid w:val="00FA566A"/>
    <w:rsid w:val="00FB7D12"/>
    <w:rsid w:val="00FC19D6"/>
    <w:rsid w:val="00FC1AB7"/>
    <w:rsid w:val="00FC2122"/>
    <w:rsid w:val="00FC2D0A"/>
    <w:rsid w:val="00FC6117"/>
    <w:rsid w:val="00FC653B"/>
    <w:rsid w:val="00FC75EC"/>
    <w:rsid w:val="00FC7E5E"/>
    <w:rsid w:val="00FD46A0"/>
    <w:rsid w:val="00FD5A14"/>
    <w:rsid w:val="00FE0073"/>
    <w:rsid w:val="00FE1110"/>
    <w:rsid w:val="00FE2692"/>
    <w:rsid w:val="00FF13F9"/>
    <w:rsid w:val="00FF36BD"/>
    <w:rsid w:val="00FF5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8D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7E7F"/>
    <w:pPr>
      <w:ind w:left="720"/>
      <w:contextualSpacing/>
    </w:pPr>
  </w:style>
  <w:style w:type="paragraph" w:styleId="BalloonText">
    <w:name w:val="Balloon Text"/>
    <w:basedOn w:val="Normal"/>
    <w:link w:val="BalloonTextChar"/>
    <w:rsid w:val="000269B1"/>
    <w:rPr>
      <w:rFonts w:ascii="Tahoma" w:hAnsi="Tahoma" w:cs="Tahoma"/>
      <w:sz w:val="16"/>
      <w:szCs w:val="16"/>
    </w:rPr>
  </w:style>
  <w:style w:type="character" w:customStyle="1" w:styleId="BalloonTextChar">
    <w:name w:val="Balloon Text Char"/>
    <w:basedOn w:val="DefaultParagraphFont"/>
    <w:link w:val="BalloonText"/>
    <w:rsid w:val="000269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8D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7E7F"/>
    <w:pPr>
      <w:ind w:left="720"/>
      <w:contextualSpacing/>
    </w:pPr>
  </w:style>
  <w:style w:type="paragraph" w:styleId="BalloonText">
    <w:name w:val="Balloon Text"/>
    <w:basedOn w:val="Normal"/>
    <w:link w:val="BalloonTextChar"/>
    <w:rsid w:val="000269B1"/>
    <w:rPr>
      <w:rFonts w:ascii="Tahoma" w:hAnsi="Tahoma" w:cs="Tahoma"/>
      <w:sz w:val="16"/>
      <w:szCs w:val="16"/>
    </w:rPr>
  </w:style>
  <w:style w:type="character" w:customStyle="1" w:styleId="BalloonTextChar">
    <w:name w:val="Balloon Text Char"/>
    <w:basedOn w:val="DefaultParagraphFont"/>
    <w:link w:val="BalloonText"/>
    <w:rsid w:val="000269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12548">
      <w:bodyDiv w:val="1"/>
      <w:marLeft w:val="0"/>
      <w:marRight w:val="0"/>
      <w:marTop w:val="0"/>
      <w:marBottom w:val="0"/>
      <w:divBdr>
        <w:top w:val="none" w:sz="0" w:space="0" w:color="auto"/>
        <w:left w:val="none" w:sz="0" w:space="0" w:color="auto"/>
        <w:bottom w:val="none" w:sz="0" w:space="0" w:color="auto"/>
        <w:right w:val="none" w:sz="0" w:space="0" w:color="auto"/>
      </w:divBdr>
    </w:div>
    <w:div w:id="368383765">
      <w:bodyDiv w:val="1"/>
      <w:marLeft w:val="0"/>
      <w:marRight w:val="0"/>
      <w:marTop w:val="0"/>
      <w:marBottom w:val="0"/>
      <w:divBdr>
        <w:top w:val="none" w:sz="0" w:space="0" w:color="auto"/>
        <w:left w:val="none" w:sz="0" w:space="0" w:color="auto"/>
        <w:bottom w:val="none" w:sz="0" w:space="0" w:color="auto"/>
        <w:right w:val="none" w:sz="0" w:space="0" w:color="auto"/>
      </w:divBdr>
    </w:div>
    <w:div w:id="433332668">
      <w:bodyDiv w:val="1"/>
      <w:marLeft w:val="0"/>
      <w:marRight w:val="0"/>
      <w:marTop w:val="0"/>
      <w:marBottom w:val="0"/>
      <w:divBdr>
        <w:top w:val="none" w:sz="0" w:space="0" w:color="auto"/>
        <w:left w:val="none" w:sz="0" w:space="0" w:color="auto"/>
        <w:bottom w:val="none" w:sz="0" w:space="0" w:color="auto"/>
        <w:right w:val="none" w:sz="0" w:space="0" w:color="auto"/>
      </w:divBdr>
    </w:div>
    <w:div w:id="802503615">
      <w:bodyDiv w:val="1"/>
      <w:marLeft w:val="0"/>
      <w:marRight w:val="0"/>
      <w:marTop w:val="0"/>
      <w:marBottom w:val="0"/>
      <w:divBdr>
        <w:top w:val="none" w:sz="0" w:space="0" w:color="auto"/>
        <w:left w:val="none" w:sz="0" w:space="0" w:color="auto"/>
        <w:bottom w:val="none" w:sz="0" w:space="0" w:color="auto"/>
        <w:right w:val="none" w:sz="0" w:space="0" w:color="auto"/>
      </w:divBdr>
    </w:div>
    <w:div w:id="1721397458">
      <w:bodyDiv w:val="1"/>
      <w:marLeft w:val="0"/>
      <w:marRight w:val="0"/>
      <w:marTop w:val="0"/>
      <w:marBottom w:val="0"/>
      <w:divBdr>
        <w:top w:val="none" w:sz="0" w:space="0" w:color="auto"/>
        <w:left w:val="none" w:sz="0" w:space="0" w:color="auto"/>
        <w:bottom w:val="none" w:sz="0" w:space="0" w:color="auto"/>
        <w:right w:val="none" w:sz="0" w:space="0" w:color="auto"/>
      </w:divBdr>
    </w:div>
    <w:div w:id="180993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1724</Words>
  <Characters>8849</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Alexis Cheesbro E-Rate Exchange</dc:creator>
  <cp:lastModifiedBy>Alexis Cheesbro E-Rate Exchange</cp:lastModifiedBy>
  <cp:revision>5</cp:revision>
  <dcterms:created xsi:type="dcterms:W3CDTF">2017-11-15T11:03:00Z</dcterms:created>
  <dcterms:modified xsi:type="dcterms:W3CDTF">2017-11-16T16:53:00Z</dcterms:modified>
</cp:coreProperties>
</file>