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034" w:rsidRDefault="00F75F3E" w:rsidP="004B0D4A">
      <w:pPr>
        <w:spacing w:after="0"/>
      </w:pPr>
      <w:r>
        <w:t>November 19</w:t>
      </w:r>
      <w:r w:rsidR="00AE16DC">
        <w:t>, 2018</w:t>
      </w:r>
    </w:p>
    <w:p w:rsidR="00AE16DC" w:rsidRDefault="00A32D35" w:rsidP="004B0D4A">
      <w:pPr>
        <w:spacing w:after="0"/>
      </w:pPr>
      <w:r>
        <w:t>Waiver Request</w:t>
      </w:r>
    </w:p>
    <w:p w:rsidR="00A32D35" w:rsidRDefault="00A32D35">
      <w:r>
        <w:t xml:space="preserve">Federal Communications </w:t>
      </w:r>
      <w:r w:rsidR="00F22114">
        <w:t>Commission</w:t>
      </w:r>
    </w:p>
    <w:p w:rsidR="007E0EF4" w:rsidRDefault="007E0EF4"/>
    <w:p w:rsidR="007E0EF4" w:rsidRDefault="00AE16DC">
      <w:r>
        <w:t>To Whom It May Concern:</w:t>
      </w:r>
    </w:p>
    <w:tbl>
      <w:tblPr>
        <w:tblStyle w:val="TableGrid"/>
        <w:tblW w:w="0" w:type="auto"/>
        <w:tblLook w:val="04A0" w:firstRow="1" w:lastRow="0" w:firstColumn="1" w:lastColumn="0" w:noHBand="0" w:noVBand="1"/>
      </w:tblPr>
      <w:tblGrid>
        <w:gridCol w:w="3775"/>
        <w:gridCol w:w="6066"/>
      </w:tblGrid>
      <w:tr w:rsidR="00AE16DC" w:rsidTr="003E1A09">
        <w:tc>
          <w:tcPr>
            <w:tcW w:w="3775" w:type="dxa"/>
          </w:tcPr>
          <w:p w:rsidR="00AE16DC" w:rsidRDefault="00AE16DC">
            <w:r>
              <w:t>Entity &amp; BEN</w:t>
            </w:r>
          </w:p>
        </w:tc>
        <w:tc>
          <w:tcPr>
            <w:tcW w:w="5575" w:type="dxa"/>
          </w:tcPr>
          <w:p w:rsidR="00AE16DC" w:rsidRDefault="00C22802">
            <w:r>
              <w:t>Pine M</w:t>
            </w:r>
            <w:bookmarkStart w:id="0" w:name="_GoBack"/>
            <w:bookmarkEnd w:id="0"/>
            <w:r w:rsidR="005668C4">
              <w:t>ountain Regional Library #127540</w:t>
            </w:r>
          </w:p>
        </w:tc>
      </w:tr>
      <w:tr w:rsidR="00AE16DC" w:rsidTr="003E1A09">
        <w:tc>
          <w:tcPr>
            <w:tcW w:w="3775" w:type="dxa"/>
          </w:tcPr>
          <w:p w:rsidR="00AE16DC" w:rsidRDefault="00AE16DC">
            <w:r>
              <w:t>Contact Person</w:t>
            </w:r>
          </w:p>
        </w:tc>
        <w:tc>
          <w:tcPr>
            <w:tcW w:w="5575" w:type="dxa"/>
          </w:tcPr>
          <w:p w:rsidR="00AE16DC" w:rsidRDefault="005668C4">
            <w:r>
              <w:t>Lorraine K. Smalley</w:t>
            </w:r>
          </w:p>
        </w:tc>
      </w:tr>
      <w:tr w:rsidR="00AE16DC" w:rsidTr="003E1A09">
        <w:tc>
          <w:tcPr>
            <w:tcW w:w="3775" w:type="dxa"/>
          </w:tcPr>
          <w:p w:rsidR="00AE16DC" w:rsidRDefault="00AE16DC">
            <w:r>
              <w:t>Contact Information</w:t>
            </w:r>
          </w:p>
          <w:p w:rsidR="00AE16DC" w:rsidRDefault="00AE16DC">
            <w:r>
              <w:t>Mailing Address</w:t>
            </w:r>
          </w:p>
          <w:p w:rsidR="00AE16DC" w:rsidRDefault="00AE16DC">
            <w:r>
              <w:t>Phone Number</w:t>
            </w:r>
          </w:p>
          <w:p w:rsidR="00AE16DC" w:rsidRDefault="00AE16DC">
            <w:r>
              <w:t>Email</w:t>
            </w:r>
          </w:p>
        </w:tc>
        <w:tc>
          <w:tcPr>
            <w:tcW w:w="5575" w:type="dxa"/>
          </w:tcPr>
          <w:p w:rsidR="00AE16DC" w:rsidRDefault="005668C4">
            <w:r>
              <w:t>218 Perry St.</w:t>
            </w:r>
          </w:p>
          <w:p w:rsidR="00AE16DC" w:rsidRDefault="005668C4">
            <w:r>
              <w:t>P.O. Box 709, Manchester, GA 31816-0709</w:t>
            </w:r>
          </w:p>
          <w:p w:rsidR="005668C4" w:rsidRDefault="005668C4">
            <w:r>
              <w:t>706-846-2186,</w:t>
            </w:r>
            <w:r w:rsidR="0071018E">
              <w:t xml:space="preserve"> e</w:t>
            </w:r>
            <w:r>
              <w:t>xt:113</w:t>
            </w:r>
          </w:p>
          <w:p w:rsidR="005668C4" w:rsidRDefault="005668C4">
            <w:r>
              <w:t>lsmalley@pinemtnlibrary.org</w:t>
            </w:r>
          </w:p>
        </w:tc>
      </w:tr>
      <w:tr w:rsidR="00AE16DC" w:rsidTr="003E1A09">
        <w:tc>
          <w:tcPr>
            <w:tcW w:w="3775" w:type="dxa"/>
          </w:tcPr>
          <w:p w:rsidR="00AE16DC" w:rsidRDefault="00AE16DC">
            <w:r>
              <w:t>Service Provider</w:t>
            </w:r>
          </w:p>
        </w:tc>
        <w:tc>
          <w:tcPr>
            <w:tcW w:w="5575" w:type="dxa"/>
          </w:tcPr>
          <w:p w:rsidR="005668C4" w:rsidRDefault="005668C4">
            <w:r>
              <w:t>Aios Group, LLC (SPIN:143047939)</w:t>
            </w:r>
          </w:p>
        </w:tc>
      </w:tr>
      <w:tr w:rsidR="00AE16DC" w:rsidTr="003E1A09">
        <w:tc>
          <w:tcPr>
            <w:tcW w:w="3775" w:type="dxa"/>
          </w:tcPr>
          <w:p w:rsidR="00AE16DC" w:rsidRDefault="00AE16DC">
            <w:r>
              <w:t>Funding Year</w:t>
            </w:r>
          </w:p>
        </w:tc>
        <w:tc>
          <w:tcPr>
            <w:tcW w:w="5575" w:type="dxa"/>
          </w:tcPr>
          <w:p w:rsidR="00AE16DC" w:rsidRDefault="00D72977">
            <w:r>
              <w:t>2018 (July 1, 2018 – June 30, 2019</w:t>
            </w:r>
            <w:r w:rsidR="00AE16DC">
              <w:t>)</w:t>
            </w:r>
          </w:p>
        </w:tc>
      </w:tr>
      <w:tr w:rsidR="00AE16DC" w:rsidTr="003E1A09">
        <w:tc>
          <w:tcPr>
            <w:tcW w:w="3775" w:type="dxa"/>
          </w:tcPr>
          <w:p w:rsidR="00AE16DC" w:rsidRDefault="00AE16DC">
            <w:r>
              <w:t>Application Type &amp; Application Number</w:t>
            </w:r>
          </w:p>
        </w:tc>
        <w:tc>
          <w:tcPr>
            <w:tcW w:w="5575" w:type="dxa"/>
          </w:tcPr>
          <w:p w:rsidR="00AE16DC" w:rsidRDefault="00AE16DC" w:rsidP="00D72977">
            <w:r>
              <w:t>Form 471 #</w:t>
            </w:r>
            <w:r w:rsidR="005668C4">
              <w:t>181024535</w:t>
            </w:r>
          </w:p>
        </w:tc>
      </w:tr>
      <w:tr w:rsidR="00AE16DC" w:rsidTr="003E1A09">
        <w:tc>
          <w:tcPr>
            <w:tcW w:w="3775" w:type="dxa"/>
          </w:tcPr>
          <w:p w:rsidR="00AE16DC" w:rsidRDefault="00662E34">
            <w:r>
              <w:t>FRN</w:t>
            </w:r>
          </w:p>
        </w:tc>
        <w:tc>
          <w:tcPr>
            <w:tcW w:w="5575" w:type="dxa"/>
          </w:tcPr>
          <w:p w:rsidR="00341946" w:rsidRDefault="00341946">
            <w:r>
              <w:t>1899050354,1899050463,1899050521,1899050580,1899050632,</w:t>
            </w:r>
          </w:p>
          <w:p w:rsidR="00341946" w:rsidRDefault="00341946">
            <w:r>
              <w:t>1899050693,1899050749</w:t>
            </w:r>
          </w:p>
        </w:tc>
      </w:tr>
      <w:tr w:rsidR="00AE16DC" w:rsidTr="003E1A09">
        <w:tc>
          <w:tcPr>
            <w:tcW w:w="3775" w:type="dxa"/>
          </w:tcPr>
          <w:p w:rsidR="00AE16DC" w:rsidRDefault="001D4E09">
            <w:r>
              <w:t>Reason for appeal</w:t>
            </w:r>
          </w:p>
        </w:tc>
        <w:tc>
          <w:tcPr>
            <w:tcW w:w="5575" w:type="dxa"/>
          </w:tcPr>
          <w:p w:rsidR="00AE16DC" w:rsidRDefault="00D72977" w:rsidP="001147AC">
            <w:r>
              <w:t>Invoice denial for “services not requested on 471”</w:t>
            </w:r>
          </w:p>
        </w:tc>
      </w:tr>
    </w:tbl>
    <w:p w:rsidR="00662E34" w:rsidRDefault="00662E34"/>
    <w:p w:rsidR="006C26C9" w:rsidRPr="00F5660F" w:rsidRDefault="00C55FCC" w:rsidP="00F5660F">
      <w:pPr>
        <w:rPr>
          <w:b/>
        </w:rPr>
      </w:pPr>
      <w:r>
        <w:rPr>
          <w:b/>
        </w:rPr>
        <w:t>Reason for Waiver</w:t>
      </w:r>
      <w:r w:rsidR="00662E34" w:rsidRPr="00C16BFB">
        <w:rPr>
          <w:b/>
        </w:rPr>
        <w:t>:</w:t>
      </w:r>
    </w:p>
    <w:p w:rsidR="00C55FCC" w:rsidRPr="00C55FCC" w:rsidRDefault="00C55FCC" w:rsidP="0059764E">
      <w:r>
        <w:rPr>
          <w:rFonts w:ascii="Calibri" w:hAnsi="Calibri" w:cs="Calibri"/>
        </w:rPr>
        <w:t>O</w:t>
      </w:r>
      <w:r w:rsidRPr="00C55FCC">
        <w:rPr>
          <w:rFonts w:ascii="Calibri" w:hAnsi="Calibri" w:cs="Calibri"/>
        </w:rPr>
        <w:t xml:space="preserve">ur </w:t>
      </w:r>
      <w:r w:rsidR="008F59A0">
        <w:t>Universal Service Administrative Co</w:t>
      </w:r>
      <w:r w:rsidR="008F59A0">
        <w:t>.</w:t>
      </w:r>
      <w:r w:rsidR="008F59A0" w:rsidRPr="00C55FCC">
        <w:rPr>
          <w:rFonts w:ascii="Calibri" w:hAnsi="Calibri" w:cs="Calibri"/>
        </w:rPr>
        <w:t xml:space="preserve"> </w:t>
      </w:r>
      <w:r w:rsidR="008F59A0">
        <w:rPr>
          <w:rFonts w:ascii="Calibri" w:hAnsi="Calibri" w:cs="Calibri"/>
        </w:rPr>
        <w:t>(</w:t>
      </w:r>
      <w:r w:rsidRPr="00C55FCC">
        <w:rPr>
          <w:rFonts w:ascii="Calibri" w:hAnsi="Calibri" w:cs="Calibri"/>
        </w:rPr>
        <w:t>USAC</w:t>
      </w:r>
      <w:r w:rsidR="008F59A0">
        <w:rPr>
          <w:rFonts w:ascii="Calibri" w:hAnsi="Calibri" w:cs="Calibri"/>
        </w:rPr>
        <w:t>)</w:t>
      </w:r>
      <w:r w:rsidRPr="00C55FCC">
        <w:rPr>
          <w:rFonts w:ascii="Calibri" w:hAnsi="Calibri" w:cs="Calibri"/>
        </w:rPr>
        <w:t xml:space="preserve"> appeal was denied based on the 60-day deadline rule. However, USAC calculated the 60-days from our FCDL date but we were calculating the 60-days from the decision being appealed – a zero-funded SPI. Our appeal was filed within 60 days of the zero-funded SPI. We are asking that you waive the 60-day rule to appeal and reconsider our original appeal request (</w:t>
      </w:r>
      <w:r>
        <w:rPr>
          <w:rFonts w:ascii="Calibri" w:hAnsi="Calibri" w:cs="Calibri"/>
        </w:rPr>
        <w:t xml:space="preserve">please </w:t>
      </w:r>
      <w:r w:rsidRPr="00C55FCC">
        <w:rPr>
          <w:rFonts w:ascii="Calibri" w:hAnsi="Calibri" w:cs="Calibri"/>
        </w:rPr>
        <w:t>see below</w:t>
      </w:r>
      <w:r>
        <w:rPr>
          <w:rFonts w:ascii="Calibri" w:hAnsi="Calibri" w:cs="Calibri"/>
        </w:rPr>
        <w:t>)</w:t>
      </w:r>
    </w:p>
    <w:p w:rsidR="00590B50" w:rsidRDefault="00A75AF6" w:rsidP="0059764E">
      <w:r>
        <w:t xml:space="preserve">The Pine Mountain Regional Library (BEN:127540) was funded for an FY 2018 Category 2 project to replace network cabling in library branches. We are asking that </w:t>
      </w:r>
      <w:r w:rsidR="00C55FCC">
        <w:t>Federal Communications Commission</w:t>
      </w:r>
      <w:r w:rsidR="00E0586B">
        <w:rPr>
          <w:rFonts w:ascii="Calibri" w:hAnsi="Calibri" w:cs="Calibri"/>
          <w:color w:val="1F497D"/>
        </w:rPr>
        <w:t xml:space="preserve"> </w:t>
      </w:r>
      <w:r w:rsidR="00E0586B" w:rsidRPr="00E0586B">
        <w:rPr>
          <w:rFonts w:ascii="Calibri" w:hAnsi="Calibri" w:cs="Calibri"/>
        </w:rPr>
        <w:t xml:space="preserve">waive the 60-day rule to </w:t>
      </w:r>
      <w:r w:rsidR="00E0586B" w:rsidRPr="00E0586B">
        <w:rPr>
          <w:rFonts w:ascii="Calibri" w:hAnsi="Calibri" w:cs="Calibri"/>
        </w:rPr>
        <w:t>appeal</w:t>
      </w:r>
      <w:r w:rsidR="00E0586B">
        <w:t xml:space="preserve"> and</w:t>
      </w:r>
      <w:r w:rsidR="00E0586B">
        <w:rPr>
          <w:rFonts w:ascii="Calibri" w:hAnsi="Calibri" w:cs="Calibri"/>
          <w:color w:val="1F497D"/>
        </w:rPr>
        <w:t xml:space="preserve"> </w:t>
      </w:r>
      <w:r w:rsidR="00E0586B" w:rsidRPr="00E0586B">
        <w:rPr>
          <w:rFonts w:ascii="Calibri" w:hAnsi="Calibri" w:cs="Calibri"/>
        </w:rPr>
        <w:t>reconsider our original appeal reques</w:t>
      </w:r>
      <w:r w:rsidR="00E0586B" w:rsidRPr="00E0586B">
        <w:rPr>
          <w:rFonts w:ascii="Calibri" w:hAnsi="Calibri" w:cs="Calibri"/>
        </w:rPr>
        <w:t>t</w:t>
      </w:r>
      <w:r w:rsidRPr="00E0586B">
        <w:t xml:space="preserve"> </w:t>
      </w:r>
      <w:r>
        <w:t xml:space="preserve">for the following </w:t>
      </w:r>
      <w:r w:rsidR="00E0586B">
        <w:t>Universal Service Administrative Co. (USAC) Form 471 #181024535 which</w:t>
      </w:r>
      <w:r w:rsidR="00247611">
        <w:t xml:space="preserve"> contains these </w:t>
      </w:r>
      <w:r>
        <w:t>FRN#s</w:t>
      </w:r>
      <w:r w:rsidR="00247611">
        <w:t xml:space="preserve">: 199050354, 1899050463, 1899050521, 1899050580, 1899050632, 1899050693, </w:t>
      </w:r>
      <w:r w:rsidR="000165FC">
        <w:t>and 1899050749</w:t>
      </w:r>
      <w:r>
        <w:t xml:space="preserve"> </w:t>
      </w:r>
      <w:r w:rsidR="001E6C10">
        <w:t>f</w:t>
      </w:r>
      <w:r w:rsidR="00590B50">
        <w:t>or the following reasons:</w:t>
      </w:r>
    </w:p>
    <w:p w:rsidR="001D56CA" w:rsidRPr="001D56CA" w:rsidRDefault="004178B6" w:rsidP="001D56CA">
      <w:pPr>
        <w:pStyle w:val="ListParagraph"/>
        <w:numPr>
          <w:ilvl w:val="0"/>
          <w:numId w:val="1"/>
        </w:numPr>
        <w:rPr>
          <w:b/>
          <w:i/>
        </w:rPr>
      </w:pPr>
      <w:r>
        <w:t xml:space="preserve">We made a </w:t>
      </w:r>
      <w:r w:rsidR="001D56CA">
        <w:t xml:space="preserve">clerical error on the </w:t>
      </w:r>
      <w:r w:rsidR="00D72977">
        <w:t xml:space="preserve">Form 470 and </w:t>
      </w:r>
      <w:r>
        <w:t xml:space="preserve">Form </w:t>
      </w:r>
      <w:r w:rsidR="001D56CA">
        <w:t>471</w:t>
      </w:r>
      <w:r>
        <w:t xml:space="preserve"> when selecting the</w:t>
      </w:r>
      <w:r w:rsidR="001D56CA">
        <w:t xml:space="preserve"> </w:t>
      </w:r>
      <w:r w:rsidR="00D72977">
        <w:t>Category Two service type</w:t>
      </w:r>
      <w:r>
        <w:t>.</w:t>
      </w:r>
      <w:r w:rsidR="0016580A">
        <w:t xml:space="preserve"> </w:t>
      </w:r>
      <w:r w:rsidR="00D72977">
        <w:t>The</w:t>
      </w:r>
      <w:r w:rsidR="001D56CA">
        <w:t xml:space="preserve"> </w:t>
      </w:r>
      <w:r w:rsidR="0016580A">
        <w:t>service type</w:t>
      </w:r>
      <w:r w:rsidR="001D56CA">
        <w:t xml:space="preserve"> should have been “Internal Connections” </w:t>
      </w:r>
      <w:r w:rsidR="000A3529">
        <w:t>rather than</w:t>
      </w:r>
      <w:r w:rsidR="001D56CA">
        <w:t xml:space="preserve"> “Basic Main</w:t>
      </w:r>
      <w:r w:rsidR="000A3529">
        <w:t>tenance of Internal Connections.</w:t>
      </w:r>
      <w:r w:rsidR="001D56CA">
        <w:t>”</w:t>
      </w:r>
      <w:r w:rsidR="00D72977">
        <w:t xml:space="preserve"> We misunderstood the different service types and </w:t>
      </w:r>
      <w:r w:rsidR="000A3529">
        <w:t xml:space="preserve">clicked the incorrect box on our </w:t>
      </w:r>
      <w:r w:rsidR="00D72977">
        <w:t>forms</w:t>
      </w:r>
      <w:r w:rsidR="000A3529">
        <w:t>.</w:t>
      </w:r>
    </w:p>
    <w:p w:rsidR="00D72977" w:rsidRPr="00D72977" w:rsidRDefault="004178B6" w:rsidP="006C26C9">
      <w:pPr>
        <w:pStyle w:val="ListParagraph"/>
        <w:numPr>
          <w:ilvl w:val="0"/>
          <w:numId w:val="1"/>
        </w:numPr>
        <w:rPr>
          <w:b/>
          <w:i/>
        </w:rPr>
      </w:pPr>
      <w:r>
        <w:t xml:space="preserve">Although </w:t>
      </w:r>
      <w:r w:rsidR="00D72977">
        <w:t>the incorrect service type was selected on our forms,</w:t>
      </w:r>
      <w:r>
        <w:t xml:space="preserve"> these services were properly bid</w:t>
      </w:r>
      <w:r w:rsidR="0048586F">
        <w:t xml:space="preserve">. We issued a </w:t>
      </w:r>
      <w:r w:rsidR="00D72977">
        <w:t>RFP with our Form 470 that clearly described the services we wished to receive.</w:t>
      </w:r>
    </w:p>
    <w:p w:rsidR="006C26C9" w:rsidRPr="008D7B69" w:rsidRDefault="00D72977" w:rsidP="008D7B69">
      <w:pPr>
        <w:pStyle w:val="ListParagraph"/>
        <w:numPr>
          <w:ilvl w:val="0"/>
          <w:numId w:val="1"/>
        </w:numPr>
        <w:rPr>
          <w:b/>
          <w:i/>
        </w:rPr>
      </w:pPr>
      <w:r>
        <w:t>We re</w:t>
      </w:r>
      <w:r w:rsidR="0048586F">
        <w:t>ceived no PIA inquiries for these</w:t>
      </w:r>
      <w:r>
        <w:t xml:space="preserve"> FRN</w:t>
      </w:r>
      <w:r w:rsidR="0048586F">
        <w:t>s</w:t>
      </w:r>
      <w:r>
        <w:t xml:space="preserve">. Had a reviewer looked at our </w:t>
      </w:r>
      <w:r w:rsidR="00823C42">
        <w:t>bid documents during</w:t>
      </w:r>
      <w:r w:rsidR="0048586F">
        <w:t xml:space="preserve"> the review process</w:t>
      </w:r>
      <w:r w:rsidR="00823C42">
        <w:t>, they would have caught the error on our forms and either corrected the issue or denied the project in PIA, rather than</w:t>
      </w:r>
      <w:r w:rsidR="0048586F">
        <w:t xml:space="preserve"> in</w:t>
      </w:r>
      <w:r w:rsidR="00823C42">
        <w:t xml:space="preserve"> invoicing. At this point, the project </w:t>
      </w:r>
      <w:r w:rsidR="008D7B69">
        <w:t xml:space="preserve">is partially completed and the </w:t>
      </w:r>
      <w:r w:rsidR="008D7B69">
        <w:t>service provider needs to be paid</w:t>
      </w:r>
      <w:r w:rsidR="00823C42">
        <w:t xml:space="preserve">. </w:t>
      </w:r>
    </w:p>
    <w:p w:rsidR="00F22114" w:rsidRDefault="00F22114" w:rsidP="006C26C9"/>
    <w:p w:rsidR="00B31584" w:rsidRDefault="00B31584" w:rsidP="006C26C9">
      <w:pPr>
        <w:rPr>
          <w:b/>
        </w:rPr>
      </w:pPr>
    </w:p>
    <w:p w:rsidR="00C55FCC" w:rsidRDefault="00C55FCC" w:rsidP="006C26C9">
      <w:pPr>
        <w:rPr>
          <w:rFonts w:ascii="Calibri" w:hAnsi="Calibri" w:cs="Calibri"/>
        </w:rPr>
      </w:pPr>
      <w:r>
        <w:rPr>
          <w:b/>
        </w:rPr>
        <w:lastRenderedPageBreak/>
        <w:t>Relevant Relief</w:t>
      </w:r>
      <w:r w:rsidRPr="00C55FCC">
        <w:rPr>
          <w:rFonts w:ascii="Calibri" w:hAnsi="Calibri" w:cs="Calibri"/>
        </w:rPr>
        <w:t xml:space="preserve">: </w:t>
      </w:r>
    </w:p>
    <w:p w:rsidR="00F22114" w:rsidRDefault="00C55FCC" w:rsidP="006C26C9">
      <w:r w:rsidRPr="00C55FCC">
        <w:rPr>
          <w:rFonts w:ascii="Calibri" w:hAnsi="Calibri" w:cs="Calibri"/>
        </w:rPr>
        <w:t>Due to this issue, we paid our service provider for equipment installed. We ask that USAC allow us to change our invoicing mode to BEAR and reimburse the discounted amount of this project. The issue of the incorrect service type being selected on the 470 and 471 should have been caught in PIA</w:t>
      </w:r>
    </w:p>
    <w:p w:rsidR="000A34D7" w:rsidRDefault="00823C42" w:rsidP="006C26C9">
      <w:r>
        <w:t xml:space="preserve">Although expedited funding commitments are appreciated, denial in invoicing (after work has been performed) leaves applicants with </w:t>
      </w:r>
      <w:r w:rsidR="00E14021">
        <w:t>few options to correct the problem</w:t>
      </w:r>
      <w:r>
        <w:t>.</w:t>
      </w:r>
      <w:r w:rsidR="00E14021">
        <w:t xml:space="preserve"> It was our intention to follow all E-rate rules – we simply misunderstood the C2 service types.</w:t>
      </w:r>
      <w:r>
        <w:t xml:space="preserve"> </w:t>
      </w:r>
      <w:r w:rsidR="002029BD">
        <w:t>Thank you for your time and attention to this matter.</w:t>
      </w:r>
    </w:p>
    <w:p w:rsidR="00F12048" w:rsidRDefault="00F12048" w:rsidP="006C26C9"/>
    <w:p w:rsidR="00F12048" w:rsidRDefault="00F12048" w:rsidP="007E0EF4">
      <w:pPr>
        <w:spacing w:after="0"/>
      </w:pPr>
      <w:r>
        <w:t>Sincerely,</w:t>
      </w:r>
    </w:p>
    <w:p w:rsidR="007E0EF4" w:rsidRPr="000A34D7" w:rsidRDefault="007E0EF4" w:rsidP="007E0EF4">
      <w:pPr>
        <w:spacing w:after="0"/>
      </w:pPr>
      <w:r>
        <w:t>Lorraine K. Smalley</w:t>
      </w:r>
    </w:p>
    <w:sectPr w:rsidR="007E0EF4" w:rsidRPr="000A34D7" w:rsidSect="00C17A3F">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F87" w:rsidRDefault="003A1F87" w:rsidP="00AE16DC">
      <w:pPr>
        <w:spacing w:after="0" w:line="240" w:lineRule="auto"/>
      </w:pPr>
      <w:r>
        <w:separator/>
      </w:r>
    </w:p>
  </w:endnote>
  <w:endnote w:type="continuationSeparator" w:id="0">
    <w:p w:rsidR="003A1F87" w:rsidRDefault="003A1F87" w:rsidP="00AE1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F87" w:rsidRDefault="003A1F87" w:rsidP="00AE16DC">
      <w:pPr>
        <w:spacing w:after="0" w:line="240" w:lineRule="auto"/>
      </w:pPr>
      <w:r>
        <w:separator/>
      </w:r>
    </w:p>
  </w:footnote>
  <w:footnote w:type="continuationSeparator" w:id="0">
    <w:p w:rsidR="003A1F87" w:rsidRDefault="003A1F87" w:rsidP="00AE16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AD7372"/>
    <w:multiLevelType w:val="hybridMultilevel"/>
    <w:tmpl w:val="524A3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17"/>
    <w:rsid w:val="00015BB5"/>
    <w:rsid w:val="000165FC"/>
    <w:rsid w:val="00097368"/>
    <w:rsid w:val="000A34D7"/>
    <w:rsid w:val="000A3529"/>
    <w:rsid w:val="001147AC"/>
    <w:rsid w:val="0014349F"/>
    <w:rsid w:val="00163501"/>
    <w:rsid w:val="0016580A"/>
    <w:rsid w:val="001D4E09"/>
    <w:rsid w:val="001D56CA"/>
    <w:rsid w:val="001E6C10"/>
    <w:rsid w:val="002029BD"/>
    <w:rsid w:val="00247611"/>
    <w:rsid w:val="00262310"/>
    <w:rsid w:val="002751F5"/>
    <w:rsid w:val="00285374"/>
    <w:rsid w:val="002C3CF3"/>
    <w:rsid w:val="002D07B3"/>
    <w:rsid w:val="002E1391"/>
    <w:rsid w:val="00341946"/>
    <w:rsid w:val="003A1F87"/>
    <w:rsid w:val="003D70B6"/>
    <w:rsid w:val="003E1A09"/>
    <w:rsid w:val="004178B6"/>
    <w:rsid w:val="0048586F"/>
    <w:rsid w:val="004915CE"/>
    <w:rsid w:val="004B0D4A"/>
    <w:rsid w:val="004C2667"/>
    <w:rsid w:val="005668C4"/>
    <w:rsid w:val="00590B50"/>
    <w:rsid w:val="005959E3"/>
    <w:rsid w:val="0059764E"/>
    <w:rsid w:val="00625EAF"/>
    <w:rsid w:val="00662E34"/>
    <w:rsid w:val="00680E17"/>
    <w:rsid w:val="006C26C9"/>
    <w:rsid w:val="006E29B7"/>
    <w:rsid w:val="0071018E"/>
    <w:rsid w:val="007D3BF3"/>
    <w:rsid w:val="007E0EF4"/>
    <w:rsid w:val="00823C42"/>
    <w:rsid w:val="008B2E28"/>
    <w:rsid w:val="008D7B69"/>
    <w:rsid w:val="008F59A0"/>
    <w:rsid w:val="009F4900"/>
    <w:rsid w:val="00A32D35"/>
    <w:rsid w:val="00A75AF6"/>
    <w:rsid w:val="00AE16DC"/>
    <w:rsid w:val="00B1623C"/>
    <w:rsid w:val="00B31584"/>
    <w:rsid w:val="00C16BFB"/>
    <w:rsid w:val="00C17A3F"/>
    <w:rsid w:val="00C22802"/>
    <w:rsid w:val="00C3329F"/>
    <w:rsid w:val="00C55899"/>
    <w:rsid w:val="00C55FCC"/>
    <w:rsid w:val="00CA55E9"/>
    <w:rsid w:val="00D57034"/>
    <w:rsid w:val="00D57AB5"/>
    <w:rsid w:val="00D72977"/>
    <w:rsid w:val="00E0586B"/>
    <w:rsid w:val="00E14021"/>
    <w:rsid w:val="00E95CA4"/>
    <w:rsid w:val="00ED6F8C"/>
    <w:rsid w:val="00F12048"/>
    <w:rsid w:val="00F22114"/>
    <w:rsid w:val="00F5660F"/>
    <w:rsid w:val="00F75F3E"/>
    <w:rsid w:val="00FA6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1B42C-4E14-46A2-BEB3-DEE84BFE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6DC"/>
  </w:style>
  <w:style w:type="paragraph" w:styleId="Footer">
    <w:name w:val="footer"/>
    <w:basedOn w:val="Normal"/>
    <w:link w:val="FooterChar"/>
    <w:uiPriority w:val="99"/>
    <w:unhideWhenUsed/>
    <w:rsid w:val="00AE1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6DC"/>
  </w:style>
  <w:style w:type="table" w:styleId="TableGrid">
    <w:name w:val="Table Grid"/>
    <w:basedOn w:val="TableNormal"/>
    <w:uiPriority w:val="39"/>
    <w:rsid w:val="00AE1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16DC"/>
    <w:rPr>
      <w:color w:val="0563C1" w:themeColor="hyperlink"/>
      <w:u w:val="single"/>
    </w:rPr>
  </w:style>
  <w:style w:type="paragraph" w:styleId="ListParagraph">
    <w:name w:val="List Paragraph"/>
    <w:basedOn w:val="Normal"/>
    <w:uiPriority w:val="34"/>
    <w:qFormat/>
    <w:rsid w:val="00590B50"/>
    <w:pPr>
      <w:ind w:left="720"/>
      <w:contextualSpacing/>
    </w:pPr>
  </w:style>
  <w:style w:type="paragraph" w:styleId="BalloonText">
    <w:name w:val="Balloon Text"/>
    <w:basedOn w:val="Normal"/>
    <w:link w:val="BalloonTextChar"/>
    <w:uiPriority w:val="99"/>
    <w:semiHidden/>
    <w:unhideWhenUsed/>
    <w:rsid w:val="00E95C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C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Libstaff</dc:creator>
  <cp:keywords/>
  <dc:description/>
  <cp:lastModifiedBy>LSmalley</cp:lastModifiedBy>
  <cp:revision>2</cp:revision>
  <cp:lastPrinted>2018-11-19T19:18:00Z</cp:lastPrinted>
  <dcterms:created xsi:type="dcterms:W3CDTF">2018-11-19T19:58:00Z</dcterms:created>
  <dcterms:modified xsi:type="dcterms:W3CDTF">2018-11-19T19:58:00Z</dcterms:modified>
</cp:coreProperties>
</file>