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b/>
          <w:sz w:val="16"/>
        </w:rPr>
        <w:t>Windstream Services, LLC</w:t>
      </w:r>
      <w:r>
        <w:rPr>
          <w:sz w:val="16"/>
        </w:rPr>
        <w:tab/>
      </w:r>
      <w:r w:rsidR="0051149D">
        <w:rPr>
          <w:b/>
          <w:sz w:val="16"/>
        </w:rPr>
        <w:t>Edward J. Cadieux</w:t>
      </w:r>
    </w:p>
    <w:p w:rsidR="00CE77E2" w:rsidRDefault="00BA1F2C" w:rsidP="00CE77E2">
      <w:pPr>
        <w:tabs>
          <w:tab w:val="left" w:pos="2880"/>
          <w:tab w:val="left" w:pos="3510"/>
        </w:tabs>
        <w:rPr>
          <w:sz w:val="16"/>
        </w:rPr>
      </w:pPr>
      <w:r>
        <w:rPr>
          <w:noProof/>
          <w:sz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4pt;margin-top:34pt;width:151.2pt;height:66.15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5743092" r:id="rId7"/>
        </w:object>
      </w:r>
      <w:r w:rsidR="0051149D">
        <w:rPr>
          <w:sz w:val="16"/>
        </w:rPr>
        <w:t>4001 Rodney Parham Road</w:t>
      </w:r>
      <w:r w:rsidR="0051149D">
        <w:rPr>
          <w:sz w:val="16"/>
        </w:rPr>
        <w:tab/>
      </w:r>
      <w:r w:rsidR="00CE77E2">
        <w:rPr>
          <w:sz w:val="16"/>
        </w:rPr>
        <w:t>Regulatory Counsel</w:t>
      </w:r>
    </w:p>
    <w:p w:rsidR="00CE77E2" w:rsidRDefault="0051149D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1170 – B1F03-53A</w:t>
      </w:r>
      <w:r>
        <w:rPr>
          <w:sz w:val="16"/>
        </w:rPr>
        <w:tab/>
        <w:t>314-249-0216</w:t>
      </w:r>
    </w:p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Little Rock, AR  72212</w:t>
      </w:r>
    </w:p>
    <w:p w:rsidR="00CE77E2" w:rsidRDefault="00CE77E2" w:rsidP="00CE77E2">
      <w:pPr>
        <w:rPr>
          <w:sz w:val="20"/>
        </w:rPr>
      </w:pPr>
    </w:p>
    <w:p w:rsidR="00CE77E2" w:rsidRDefault="00CE77E2" w:rsidP="00CE77E2">
      <w:pPr>
        <w:rPr>
          <w:sz w:val="20"/>
        </w:rPr>
      </w:pPr>
    </w:p>
    <w:p w:rsidR="00CE77E2" w:rsidRPr="008B125A" w:rsidRDefault="00CE77E2" w:rsidP="00CE77E2">
      <w:pPr>
        <w:rPr>
          <w:b/>
          <w:szCs w:val="24"/>
          <w:u w:val="single"/>
        </w:rPr>
      </w:pPr>
      <w:r w:rsidRPr="008B125A">
        <w:rPr>
          <w:b/>
          <w:szCs w:val="24"/>
          <w:u w:val="single"/>
        </w:rPr>
        <w:t>VIA ECFS</w:t>
      </w:r>
    </w:p>
    <w:p w:rsidR="00CE77E2" w:rsidRPr="008B125A" w:rsidRDefault="00CE77E2" w:rsidP="00CE77E2">
      <w:pPr>
        <w:rPr>
          <w:b/>
          <w:szCs w:val="24"/>
          <w:u w:val="single"/>
        </w:rPr>
      </w:pPr>
    </w:p>
    <w:p w:rsidR="00EE1541" w:rsidRDefault="00EE1541" w:rsidP="0051149D">
      <w:pPr>
        <w:rPr>
          <w:b/>
          <w:szCs w:val="24"/>
          <w:u w:val="single"/>
        </w:rPr>
      </w:pPr>
    </w:p>
    <w:p w:rsidR="00CE77E2" w:rsidRPr="008B125A" w:rsidRDefault="00D700D6" w:rsidP="0051149D">
      <w:pPr>
        <w:rPr>
          <w:szCs w:val="24"/>
        </w:rPr>
      </w:pPr>
      <w:r>
        <w:rPr>
          <w:szCs w:val="24"/>
        </w:rPr>
        <w:t>November</w:t>
      </w:r>
      <w:r w:rsidR="0051149D">
        <w:rPr>
          <w:szCs w:val="24"/>
        </w:rPr>
        <w:t xml:space="preserve"> </w:t>
      </w:r>
      <w:r w:rsidR="00A11C7C">
        <w:rPr>
          <w:szCs w:val="24"/>
        </w:rPr>
        <w:t>20</w:t>
      </w:r>
      <w:r w:rsidR="0051149D">
        <w:rPr>
          <w:szCs w:val="24"/>
        </w:rPr>
        <w:t>, 201</w:t>
      </w:r>
      <w:r w:rsidR="00F02686">
        <w:rPr>
          <w:szCs w:val="24"/>
        </w:rPr>
        <w:t>9</w:t>
      </w:r>
    </w:p>
    <w:p w:rsidR="0051149D" w:rsidRPr="008B125A" w:rsidRDefault="0051149D" w:rsidP="00CE77E2">
      <w:pPr>
        <w:rPr>
          <w:szCs w:val="24"/>
        </w:rPr>
      </w:pP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Marlene H. Dortch, Secretary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Federal Communications Commission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445 12</w:t>
      </w:r>
      <w:r w:rsidRPr="008B125A">
        <w:rPr>
          <w:szCs w:val="24"/>
          <w:vertAlign w:val="superscript"/>
        </w:rPr>
        <w:t>th</w:t>
      </w:r>
      <w:r w:rsidRPr="008B125A">
        <w:rPr>
          <w:szCs w:val="24"/>
        </w:rPr>
        <w:t xml:space="preserve"> Street, S.W.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Washington, DC 20554</w:t>
      </w:r>
    </w:p>
    <w:p w:rsidR="00CE77E2" w:rsidRPr="008B125A" w:rsidRDefault="00CE77E2" w:rsidP="00CE77E2">
      <w:pPr>
        <w:rPr>
          <w:szCs w:val="24"/>
        </w:rPr>
      </w:pPr>
    </w:p>
    <w:p w:rsidR="00F02686" w:rsidRDefault="00CE77E2" w:rsidP="00CE77E2">
      <w:pPr>
        <w:rPr>
          <w:szCs w:val="24"/>
        </w:rPr>
      </w:pPr>
      <w:r>
        <w:rPr>
          <w:szCs w:val="24"/>
        </w:rPr>
        <w:tab/>
        <w:t xml:space="preserve">RE: Section 63.71 </w:t>
      </w:r>
      <w:r w:rsidR="00F02686">
        <w:rPr>
          <w:szCs w:val="24"/>
        </w:rPr>
        <w:t xml:space="preserve">Amendment Letter to </w:t>
      </w:r>
      <w:r>
        <w:rPr>
          <w:szCs w:val="24"/>
        </w:rPr>
        <w:t>Application of</w:t>
      </w:r>
      <w:r w:rsidR="00F02686">
        <w:rPr>
          <w:szCs w:val="24"/>
        </w:rPr>
        <w:t xml:space="preserve"> </w:t>
      </w:r>
      <w:r w:rsidR="00F81DD6">
        <w:rPr>
          <w:szCs w:val="24"/>
        </w:rPr>
        <w:t>Windstream Services, LLC</w:t>
      </w:r>
      <w:r w:rsidR="00F02686">
        <w:rPr>
          <w:szCs w:val="24"/>
        </w:rPr>
        <w:t>.</w:t>
      </w:r>
      <w:r w:rsidR="00C6558C">
        <w:rPr>
          <w:szCs w:val="24"/>
        </w:rPr>
        <w:t xml:space="preserve"> – Docket WC 19-321</w:t>
      </w:r>
    </w:p>
    <w:p w:rsidR="00CE77E2" w:rsidRDefault="00CE77E2" w:rsidP="00CE77E2">
      <w:pPr>
        <w:rPr>
          <w:szCs w:val="24"/>
        </w:rPr>
      </w:pPr>
    </w:p>
    <w:p w:rsidR="00CE77E2" w:rsidRDefault="00CE77E2" w:rsidP="00CE77E2">
      <w:pPr>
        <w:rPr>
          <w:szCs w:val="24"/>
        </w:rPr>
      </w:pPr>
      <w:r>
        <w:rPr>
          <w:szCs w:val="24"/>
        </w:rPr>
        <w:t>Dear Ms. Dortch:</w:t>
      </w:r>
    </w:p>
    <w:p w:rsidR="00EE1541" w:rsidRDefault="00EE1541" w:rsidP="00EE1541">
      <w:pPr>
        <w:rPr>
          <w:szCs w:val="24"/>
        </w:rPr>
      </w:pPr>
    </w:p>
    <w:p w:rsidR="00EE1541" w:rsidRDefault="00CE77E2" w:rsidP="00EE1541">
      <w:pPr>
        <w:ind w:firstLine="720"/>
        <w:rPr>
          <w:szCs w:val="24"/>
        </w:rPr>
      </w:pPr>
      <w:bookmarkStart w:id="0" w:name="_GoBack"/>
      <w:bookmarkEnd w:id="0"/>
      <w:r>
        <w:rPr>
          <w:szCs w:val="24"/>
        </w:rPr>
        <w:t xml:space="preserve">Windstream </w:t>
      </w:r>
      <w:r w:rsidR="008E1813">
        <w:rPr>
          <w:szCs w:val="24"/>
        </w:rPr>
        <w:t>Services</w:t>
      </w:r>
      <w:r>
        <w:rPr>
          <w:szCs w:val="24"/>
        </w:rPr>
        <w:t>, LLC</w:t>
      </w:r>
      <w:r w:rsidR="00F02686">
        <w:rPr>
          <w:szCs w:val="24"/>
        </w:rPr>
        <w:t xml:space="preserve">, on behalf of </w:t>
      </w:r>
      <w:r w:rsidR="004C3741">
        <w:rPr>
          <w:szCs w:val="24"/>
        </w:rPr>
        <w:t>Network Telephone, LLC and Talk America, LLC,</w:t>
      </w:r>
      <w:r w:rsidR="00C2657D">
        <w:rPr>
          <w:szCs w:val="24"/>
        </w:rPr>
        <w:t xml:space="preserve"> (“Windstream”)</w:t>
      </w:r>
      <w:r w:rsidR="004C3741">
        <w:rPr>
          <w:szCs w:val="24"/>
        </w:rPr>
        <w:t xml:space="preserve"> </w:t>
      </w:r>
      <w:r>
        <w:rPr>
          <w:szCs w:val="24"/>
        </w:rPr>
        <w:t>respectfully files th</w:t>
      </w:r>
      <w:r w:rsidR="00F02686">
        <w:rPr>
          <w:szCs w:val="24"/>
        </w:rPr>
        <w:t xml:space="preserve">is </w:t>
      </w:r>
      <w:r w:rsidR="00A11C7C">
        <w:rPr>
          <w:szCs w:val="24"/>
        </w:rPr>
        <w:t xml:space="preserve">Second </w:t>
      </w:r>
      <w:r w:rsidR="00F02686">
        <w:rPr>
          <w:szCs w:val="24"/>
        </w:rPr>
        <w:t xml:space="preserve">Amendment to </w:t>
      </w:r>
      <w:r>
        <w:rPr>
          <w:szCs w:val="24"/>
        </w:rPr>
        <w:t xml:space="preserve">Application for Authority to Discontinue </w:t>
      </w:r>
      <w:r w:rsidR="000820E3">
        <w:rPr>
          <w:szCs w:val="24"/>
        </w:rPr>
        <w:t>c</w:t>
      </w:r>
      <w:r>
        <w:rPr>
          <w:szCs w:val="24"/>
        </w:rPr>
        <w:t xml:space="preserve">ertain </w:t>
      </w:r>
      <w:r w:rsidR="000820E3">
        <w:rPr>
          <w:szCs w:val="24"/>
        </w:rPr>
        <w:t>s</w:t>
      </w:r>
      <w:r>
        <w:rPr>
          <w:szCs w:val="24"/>
        </w:rPr>
        <w:t>ervices</w:t>
      </w:r>
      <w:r w:rsidR="00F02686">
        <w:rPr>
          <w:szCs w:val="24"/>
        </w:rPr>
        <w:t xml:space="preserve"> that was filed with the Commission on </w:t>
      </w:r>
      <w:r w:rsidR="004C3741">
        <w:rPr>
          <w:szCs w:val="24"/>
        </w:rPr>
        <w:t>October 16, 2019</w:t>
      </w:r>
      <w:r w:rsidR="00C2657D">
        <w:rPr>
          <w:szCs w:val="24"/>
        </w:rPr>
        <w:t xml:space="preserve"> (“the Application”)</w:t>
      </w:r>
      <w:r w:rsidR="004C3741">
        <w:rPr>
          <w:szCs w:val="24"/>
        </w:rPr>
        <w:t>.</w:t>
      </w:r>
    </w:p>
    <w:p w:rsidR="00A11C7C" w:rsidRDefault="00F02686" w:rsidP="00EE1541">
      <w:pPr>
        <w:ind w:firstLine="720"/>
        <w:rPr>
          <w:szCs w:val="24"/>
        </w:rPr>
      </w:pPr>
      <w:r>
        <w:rPr>
          <w:szCs w:val="24"/>
        </w:rPr>
        <w:t xml:space="preserve"> </w:t>
      </w:r>
    </w:p>
    <w:p w:rsidR="00A11C7C" w:rsidRDefault="00C2657D" w:rsidP="00A11C7C">
      <w:pPr>
        <w:ind w:firstLine="720"/>
        <w:rPr>
          <w:szCs w:val="24"/>
        </w:rPr>
      </w:pPr>
      <w:r>
        <w:rPr>
          <w:szCs w:val="24"/>
        </w:rPr>
        <w:t>Windstream hereby amends the Application by confirming</w:t>
      </w:r>
      <w:r w:rsidR="00F902C1">
        <w:rPr>
          <w:szCs w:val="24"/>
        </w:rPr>
        <w:t xml:space="preserve"> that </w:t>
      </w:r>
      <w:r w:rsidR="00F902C1" w:rsidRPr="00F902C1">
        <w:rPr>
          <w:szCs w:val="24"/>
        </w:rPr>
        <w:t>it provides</w:t>
      </w:r>
      <w:r w:rsidR="00A11C7C">
        <w:rPr>
          <w:szCs w:val="24"/>
        </w:rPr>
        <w:t xml:space="preserve"> </w:t>
      </w:r>
      <w:r w:rsidR="00A11C7C">
        <w:t>o</w:t>
      </w:r>
      <w:r w:rsidR="00A11C7C">
        <w:t>ffers a stand-alone interconnected VoIP service throughout the affected service area, and</w:t>
      </w:r>
      <w:r w:rsidR="00A11C7C">
        <w:t xml:space="preserve"> a</w:t>
      </w:r>
      <w:r w:rsidR="00A11C7C">
        <w:t>t least one other alternative stand-alone facilities-based wireline or wireless voice service is available from another unaffiliated provider throughout the affected service area.</w:t>
      </w:r>
    </w:p>
    <w:p w:rsidR="00EE1541" w:rsidRDefault="00EE1541" w:rsidP="00A11C7C">
      <w:pPr>
        <w:ind w:firstLine="720"/>
        <w:rPr>
          <w:szCs w:val="24"/>
        </w:rPr>
      </w:pPr>
    </w:p>
    <w:p w:rsidR="00625120" w:rsidRDefault="00625120" w:rsidP="00A11C7C">
      <w:pPr>
        <w:ind w:firstLine="720"/>
        <w:rPr>
          <w:szCs w:val="24"/>
        </w:rPr>
      </w:pPr>
      <w:r>
        <w:rPr>
          <w:szCs w:val="24"/>
        </w:rPr>
        <w:t>The Application is hereby amended consistent with these modifications.</w:t>
      </w:r>
    </w:p>
    <w:p w:rsidR="00A11C7C" w:rsidRDefault="00A11C7C" w:rsidP="00A11C7C">
      <w:pPr>
        <w:ind w:firstLine="720"/>
        <w:rPr>
          <w:szCs w:val="24"/>
        </w:rPr>
      </w:pPr>
    </w:p>
    <w:p w:rsidR="00625120" w:rsidRDefault="00625120" w:rsidP="00CE77E2">
      <w:pPr>
        <w:ind w:firstLine="720"/>
        <w:rPr>
          <w:szCs w:val="24"/>
        </w:rPr>
      </w:pPr>
      <w:r>
        <w:rPr>
          <w:szCs w:val="24"/>
        </w:rPr>
        <w:t>Please feel free to contact me if you have any questions regarding this amendment.</w:t>
      </w:r>
    </w:p>
    <w:p w:rsidR="00625120" w:rsidRDefault="00625120" w:rsidP="00CE77E2">
      <w:pPr>
        <w:ind w:firstLine="720"/>
        <w:rPr>
          <w:szCs w:val="24"/>
        </w:rPr>
      </w:pPr>
    </w:p>
    <w:p w:rsidR="00CE77E2" w:rsidRDefault="00CE77E2" w:rsidP="00F902C1">
      <w:pPr>
        <w:ind w:left="2160" w:firstLine="720"/>
        <w:rPr>
          <w:szCs w:val="24"/>
        </w:rPr>
      </w:pPr>
      <w:r>
        <w:rPr>
          <w:szCs w:val="24"/>
        </w:rPr>
        <w:t>Sincerely,</w:t>
      </w:r>
    </w:p>
    <w:p w:rsidR="00CE77E2" w:rsidRDefault="00CE77E2" w:rsidP="00EB6EC4">
      <w:pPr>
        <w:ind w:left="2160" w:firstLine="720"/>
        <w:rPr>
          <w:szCs w:val="24"/>
        </w:rPr>
      </w:pP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  </w:t>
      </w:r>
      <w:r>
        <w:rPr>
          <w:noProof/>
          <w:szCs w:val="24"/>
        </w:rPr>
        <w:drawing>
          <wp:inline distT="0" distB="0" distL="0" distR="0">
            <wp:extent cx="2331402" cy="81092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753" cy="8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Edward J. Cadieux</w:t>
      </w:r>
    </w:p>
    <w:p w:rsidR="004E3682" w:rsidRDefault="004E3682"/>
    <w:sectPr w:rsidR="004E368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F2C" w:rsidRDefault="00BA1F2C" w:rsidP="00CE459A">
      <w:r>
        <w:separator/>
      </w:r>
    </w:p>
  </w:endnote>
  <w:endnote w:type="continuationSeparator" w:id="0">
    <w:p w:rsidR="00BA1F2C" w:rsidRDefault="00BA1F2C" w:rsidP="00CE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59A" w:rsidRDefault="00CE45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a2d14232826ad2d7a6bbbace" descr="{&quot;HashCode&quot;:26948429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E459A" w:rsidRPr="00CE459A" w:rsidRDefault="00CE459A" w:rsidP="00CE45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2d14232826ad2d7a6bbbace" o:spid="_x0000_s1026" type="#_x0000_t202" alt="{&quot;HashCode&quot;:26948429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BIecJ/GgMAADY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:rsidR="00CE459A" w:rsidRPr="00CE459A" w:rsidRDefault="00CE459A" w:rsidP="00CE45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F2C" w:rsidRDefault="00BA1F2C" w:rsidP="00CE459A">
      <w:r>
        <w:separator/>
      </w:r>
    </w:p>
  </w:footnote>
  <w:footnote w:type="continuationSeparator" w:id="0">
    <w:p w:rsidR="00BA1F2C" w:rsidRDefault="00BA1F2C" w:rsidP="00CE4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7E2"/>
    <w:rsid w:val="000641A9"/>
    <w:rsid w:val="000820E3"/>
    <w:rsid w:val="001B6668"/>
    <w:rsid w:val="00302BCF"/>
    <w:rsid w:val="003729EA"/>
    <w:rsid w:val="00491D9C"/>
    <w:rsid w:val="004C3741"/>
    <w:rsid w:val="004E3682"/>
    <w:rsid w:val="0051149D"/>
    <w:rsid w:val="00625120"/>
    <w:rsid w:val="00796C8F"/>
    <w:rsid w:val="00804E5E"/>
    <w:rsid w:val="00884E97"/>
    <w:rsid w:val="00891B9A"/>
    <w:rsid w:val="008E1813"/>
    <w:rsid w:val="00916844"/>
    <w:rsid w:val="00922B3D"/>
    <w:rsid w:val="009B2FE2"/>
    <w:rsid w:val="00A11C7C"/>
    <w:rsid w:val="00A15092"/>
    <w:rsid w:val="00B815F3"/>
    <w:rsid w:val="00BA1F2C"/>
    <w:rsid w:val="00C2657D"/>
    <w:rsid w:val="00C6558C"/>
    <w:rsid w:val="00CE3620"/>
    <w:rsid w:val="00CE459A"/>
    <w:rsid w:val="00CE77E2"/>
    <w:rsid w:val="00D700D6"/>
    <w:rsid w:val="00DF4B84"/>
    <w:rsid w:val="00E36FA2"/>
    <w:rsid w:val="00E43245"/>
    <w:rsid w:val="00EB6EC4"/>
    <w:rsid w:val="00EE1541"/>
    <w:rsid w:val="00F02686"/>
    <w:rsid w:val="00F81DD6"/>
    <w:rsid w:val="00F902C1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21253"/>
  <w15:chartTrackingRefBased/>
  <w15:docId w15:val="{CAD7642E-175F-4AB6-92DE-BEA14FC2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7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4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4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59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E4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59A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A11C7C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0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Caballero, Cesar</dc:creator>
  <cp:keywords/>
  <dc:description/>
  <cp:lastModifiedBy>Cadieux, Ed J</cp:lastModifiedBy>
  <cp:revision>3</cp:revision>
  <cp:lastPrinted>2017-09-08T20:23:00Z</cp:lastPrinted>
  <dcterms:created xsi:type="dcterms:W3CDTF">2019-11-20T14:15:00Z</dcterms:created>
  <dcterms:modified xsi:type="dcterms:W3CDTF">2019-11-20T14:16:00Z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a0720e8-2283-4502-917f-4c0aee493a24_Enabled">
    <vt:lpwstr>True</vt:lpwstr>
  </property>
  <property fmtid="{D5CDD505-2E9C-101B-9397-08002B2CF9AE}" pid="3" name="MSIP_Label_5a0720e8-2283-4502-917f-4c0aee493a24_SiteId">
    <vt:lpwstr>2567b4c1-b0ed-40f5-aee3-58d7c5f3e2b2</vt:lpwstr>
  </property>
  <property fmtid="{D5CDD505-2E9C-101B-9397-08002B2CF9AE}" pid="4" name="MSIP_Label_5a0720e8-2283-4502-917f-4c0aee493a24_Owner">
    <vt:lpwstr>e0145992@windstream.com</vt:lpwstr>
  </property>
  <property fmtid="{D5CDD505-2E9C-101B-9397-08002B2CF9AE}" pid="5" name="MSIP_Label_5a0720e8-2283-4502-917f-4c0aee493a24_SetDate">
    <vt:lpwstr>2019-11-13T15:26:54.6107553Z</vt:lpwstr>
  </property>
  <property fmtid="{D5CDD505-2E9C-101B-9397-08002B2CF9AE}" pid="6" name="MSIP_Label_5a0720e8-2283-4502-917f-4c0aee493a24_Name">
    <vt:lpwstr>Internal</vt:lpwstr>
  </property>
  <property fmtid="{D5CDD505-2E9C-101B-9397-08002B2CF9AE}" pid="7" name="MSIP_Label_5a0720e8-2283-4502-917f-4c0aee493a24_Application">
    <vt:lpwstr>Microsoft Azure Information Protection</vt:lpwstr>
  </property>
  <property fmtid="{D5CDD505-2E9C-101B-9397-08002B2CF9AE}" pid="8" name="MSIP_Label_5a0720e8-2283-4502-917f-4c0aee493a24_Extended_MSFT_Method">
    <vt:lpwstr>Automatic</vt:lpwstr>
  </property>
  <property fmtid="{D5CDD505-2E9C-101B-9397-08002B2CF9AE}" pid="9" name="Sensitivity">
    <vt:lpwstr>Internal</vt:lpwstr>
  </property>
</Properties>
</file>