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390EE" w14:textId="77777777" w:rsidR="002A4F0E" w:rsidRPr="00E268DF" w:rsidRDefault="00E268DF" w:rsidP="00E268DF">
      <w:pPr>
        <w:jc w:val="center"/>
        <w:rPr>
          <w:b/>
        </w:rPr>
      </w:pPr>
      <w:r w:rsidRPr="00E268DF">
        <w:rPr>
          <w:b/>
        </w:rPr>
        <w:t>Before the</w:t>
      </w:r>
      <w:bookmarkStart w:id="0" w:name="_GoBack"/>
      <w:bookmarkEnd w:id="0"/>
    </w:p>
    <w:p w14:paraId="38BBE8C2" w14:textId="77777777" w:rsidR="00E268DF" w:rsidRPr="00E268DF" w:rsidRDefault="00E268DF" w:rsidP="00E268DF">
      <w:pPr>
        <w:jc w:val="center"/>
        <w:rPr>
          <w:b/>
        </w:rPr>
      </w:pPr>
      <w:r w:rsidRPr="00E268DF">
        <w:rPr>
          <w:b/>
        </w:rPr>
        <w:t>FEDERAL COMMUNICATIONS COMMISSION</w:t>
      </w:r>
    </w:p>
    <w:p w14:paraId="1BDD1C57" w14:textId="77777777" w:rsidR="00E268DF" w:rsidRPr="00E268DF" w:rsidRDefault="00E268DF" w:rsidP="00E268DF">
      <w:pPr>
        <w:spacing w:after="480"/>
        <w:jc w:val="center"/>
        <w:rPr>
          <w:b/>
        </w:rPr>
      </w:pPr>
      <w:r w:rsidRPr="00E268DF">
        <w:rPr>
          <w:b/>
        </w:rPr>
        <w:t>Washington, D.C. 20554</w:t>
      </w:r>
    </w:p>
    <w:p w14:paraId="0C95027C" w14:textId="77777777" w:rsidR="00E268DF" w:rsidRDefault="00E268DF" w:rsidP="002A4F0E">
      <w:r>
        <w:t>In the Matter of</w:t>
      </w:r>
      <w:r>
        <w:tab/>
      </w:r>
      <w:r>
        <w:tab/>
      </w:r>
      <w:r>
        <w:tab/>
      </w:r>
      <w:r>
        <w:tab/>
      </w:r>
      <w:r>
        <w:tab/>
        <w:t>)</w:t>
      </w:r>
    </w:p>
    <w:p w14:paraId="4B8D1075" w14:textId="77777777" w:rsidR="00E268DF" w:rsidRDefault="00E268DF" w:rsidP="002A4F0E">
      <w:r>
        <w:tab/>
      </w:r>
      <w:r>
        <w:tab/>
      </w:r>
      <w:r>
        <w:tab/>
      </w:r>
      <w:r>
        <w:tab/>
      </w:r>
      <w:r>
        <w:tab/>
      </w:r>
      <w:r>
        <w:tab/>
      </w:r>
      <w:r>
        <w:tab/>
        <w:t>)</w:t>
      </w:r>
    </w:p>
    <w:p w14:paraId="7DBD484B" w14:textId="77777777" w:rsidR="00E268DF" w:rsidRDefault="00E43573" w:rsidP="002A4F0E">
      <w:r>
        <w:t>Connect America Fund</w:t>
      </w:r>
      <w:r>
        <w:tab/>
      </w:r>
      <w:r>
        <w:tab/>
      </w:r>
      <w:r>
        <w:tab/>
      </w:r>
      <w:r>
        <w:tab/>
        <w:t>)</w:t>
      </w:r>
      <w:r>
        <w:tab/>
        <w:t>WC Docket No. 10-90</w:t>
      </w:r>
    </w:p>
    <w:p w14:paraId="7F16A299" w14:textId="10312F5F" w:rsidR="00E43573" w:rsidRDefault="00E43573" w:rsidP="00E268DF">
      <w:pPr>
        <w:spacing w:after="240"/>
        <w:contextualSpacing/>
      </w:pPr>
      <w:r>
        <w:tab/>
      </w:r>
      <w:r>
        <w:tab/>
      </w:r>
      <w:r>
        <w:tab/>
      </w:r>
      <w:r>
        <w:tab/>
      </w:r>
      <w:r>
        <w:tab/>
      </w:r>
      <w:r w:rsidR="00E268DF">
        <w:tab/>
      </w:r>
      <w:r w:rsidR="00E268DF">
        <w:tab/>
        <w:t>)</w:t>
      </w:r>
      <w:r>
        <w:tab/>
      </w:r>
    </w:p>
    <w:p w14:paraId="2268B98D" w14:textId="77777777" w:rsidR="00E43573" w:rsidRDefault="00E43573" w:rsidP="00E268DF">
      <w:pPr>
        <w:spacing w:after="240"/>
        <w:contextualSpacing/>
      </w:pPr>
      <w:r>
        <w:t>Developing an Unified Intercarrier</w:t>
      </w:r>
      <w:r>
        <w:tab/>
      </w:r>
      <w:r>
        <w:tab/>
      </w:r>
      <w:r>
        <w:tab/>
        <w:t>)</w:t>
      </w:r>
      <w:r w:rsidR="003B0A00">
        <w:tab/>
        <w:t>CC Docket No. 01-92</w:t>
      </w:r>
    </w:p>
    <w:p w14:paraId="26A31457" w14:textId="77777777" w:rsidR="00E43573" w:rsidRDefault="00E43573" w:rsidP="00E268DF">
      <w:pPr>
        <w:spacing w:after="240"/>
        <w:contextualSpacing/>
      </w:pPr>
      <w:r>
        <w:t>Compensation Regime</w:t>
      </w:r>
      <w:r>
        <w:tab/>
      </w:r>
      <w:r>
        <w:tab/>
      </w:r>
      <w:r>
        <w:tab/>
      </w:r>
      <w:r>
        <w:tab/>
        <w:t>)</w:t>
      </w:r>
    </w:p>
    <w:p w14:paraId="59501755" w14:textId="24868929" w:rsidR="00841B1E" w:rsidRDefault="00E43573" w:rsidP="00E268DF">
      <w:pPr>
        <w:spacing w:after="240"/>
        <w:contextualSpacing/>
      </w:pPr>
      <w:r>
        <w:tab/>
      </w:r>
      <w:r>
        <w:tab/>
      </w:r>
      <w:r>
        <w:tab/>
      </w:r>
      <w:r>
        <w:tab/>
      </w:r>
      <w:r>
        <w:tab/>
      </w:r>
      <w:r>
        <w:tab/>
      </w:r>
      <w:r>
        <w:tab/>
        <w:t>)</w:t>
      </w:r>
      <w:r w:rsidR="00841B1E">
        <w:br/>
        <w:t>To:  The Commission</w:t>
      </w:r>
      <w:r w:rsidR="00841B1E">
        <w:tab/>
      </w:r>
      <w:r w:rsidR="00841B1E">
        <w:tab/>
      </w:r>
      <w:r w:rsidR="00841B1E">
        <w:tab/>
      </w:r>
      <w:r w:rsidR="00841B1E">
        <w:tab/>
      </w:r>
      <w:r w:rsidR="00841B1E">
        <w:tab/>
        <w:t>)</w:t>
      </w:r>
    </w:p>
    <w:p w14:paraId="58489FFE" w14:textId="77777777" w:rsidR="0024708A" w:rsidRDefault="0024708A" w:rsidP="00E268DF">
      <w:pPr>
        <w:spacing w:after="240"/>
        <w:contextualSpacing/>
      </w:pPr>
    </w:p>
    <w:p w14:paraId="709C0DE3" w14:textId="77777777" w:rsidR="00E268DF" w:rsidRDefault="00E268DF" w:rsidP="002A4F0E"/>
    <w:p w14:paraId="2DCDC0E4" w14:textId="38E5BF22" w:rsidR="00E268DF" w:rsidRPr="00FA7C66" w:rsidRDefault="009C64B5" w:rsidP="00E268DF">
      <w:pPr>
        <w:spacing w:after="240"/>
        <w:jc w:val="center"/>
        <w:rPr>
          <w:u w:val="single"/>
        </w:rPr>
      </w:pPr>
      <w:r>
        <w:rPr>
          <w:b/>
          <w:u w:val="single"/>
        </w:rPr>
        <w:t xml:space="preserve">REPLY </w:t>
      </w:r>
      <w:r w:rsidR="003B0A00" w:rsidRPr="00FA7C66">
        <w:rPr>
          <w:b/>
          <w:u w:val="single"/>
        </w:rPr>
        <w:t>COMMENTS OF INTELIQUENT, INC.</w:t>
      </w:r>
    </w:p>
    <w:p w14:paraId="11ADCD04" w14:textId="77777777" w:rsidR="00827B0C" w:rsidRDefault="00FA7C66" w:rsidP="006D544F">
      <w:pPr>
        <w:pStyle w:val="BodyTextFirstHalfIndent2"/>
      </w:pPr>
      <w:r>
        <w:t xml:space="preserve">Inteliquent, </w:t>
      </w:r>
      <w:r w:rsidRPr="00FA7C66">
        <w:rPr>
          <w:rFonts w:ascii="Times New Roman" w:eastAsia="Times New Roman" w:hAnsi="Times New Roman" w:cs="Times New Roman"/>
          <w:szCs w:val="20"/>
        </w:rPr>
        <w:t>Inc</w:t>
      </w:r>
      <w:r w:rsidR="00C01670">
        <w:t xml:space="preserve">. (“Inteliquent”) </w:t>
      </w:r>
      <w:r w:rsidR="00302CC4">
        <w:t>appreciate</w:t>
      </w:r>
      <w:r w:rsidR="00C048BF">
        <w:t>s</w:t>
      </w:r>
      <w:r w:rsidR="00302CC4">
        <w:t xml:space="preserve"> the opportunity to respond to </w:t>
      </w:r>
      <w:r w:rsidR="00C048BF">
        <w:t xml:space="preserve">comments filed in response to </w:t>
      </w:r>
      <w:r w:rsidR="006D544F">
        <w:t xml:space="preserve">the </w:t>
      </w:r>
      <w:r>
        <w:t>Commission’s Public Notice</w:t>
      </w:r>
      <w:r w:rsidR="00EA7392" w:rsidRPr="00EA7392">
        <w:t xml:space="preserve"> </w:t>
      </w:r>
      <w:r w:rsidR="00EA7392">
        <w:t xml:space="preserve">seeking to </w:t>
      </w:r>
      <w:r w:rsidR="00F70416">
        <w:t xml:space="preserve">refresh the record regarding </w:t>
      </w:r>
      <w:r w:rsidR="00C048BF">
        <w:t>“(1) the network edge for traffic that interconnects with the Public Switched Telephone Network, (2) tandem switching and transport, and (3) transit (the non-access traffic functional equivalent of tandem switching and transport).”</w:t>
      </w:r>
      <w:r>
        <w:rPr>
          <w:rStyle w:val="FootnoteReference"/>
        </w:rPr>
        <w:footnoteReference w:id="2"/>
      </w:r>
      <w:r w:rsidR="00C01670">
        <w:t xml:space="preserve">  Inteliquent has mo</w:t>
      </w:r>
      <w:r w:rsidR="008E7F55">
        <w:t>re than 15</w:t>
      </w:r>
      <w:r w:rsidR="00C01670">
        <w:t xml:space="preserve"> years of experience offering network-based voice and messaging services to wireless, cable, CLECs, VoIP, and other comm</w:t>
      </w:r>
      <w:r w:rsidR="00AF705B">
        <w:t>unications services providers.</w:t>
      </w:r>
      <w:r w:rsidR="00827B0C">
        <w:t xml:space="preserve">  </w:t>
      </w:r>
      <w:r w:rsidR="00C01670">
        <w:t xml:space="preserve">A substantial portion of Inteliquent’s offerings are intermediate services such as tandem switching, </w:t>
      </w:r>
      <w:r w:rsidR="00AF705B">
        <w:t>transport, and transit services that are the subject of the</w:t>
      </w:r>
      <w:r w:rsidR="00827B0C">
        <w:t xml:space="preserve"> Commission’s present inquiry.</w:t>
      </w:r>
    </w:p>
    <w:p w14:paraId="496DB562" w14:textId="425ED422" w:rsidR="003B0A00" w:rsidRDefault="0024708A" w:rsidP="006D544F">
      <w:pPr>
        <w:pStyle w:val="BodyTextFirstHalfIndent2"/>
      </w:pPr>
      <w:r>
        <w:t>Inteliquent offers t</w:t>
      </w:r>
      <w:r w:rsidR="00AF705B">
        <w:t xml:space="preserve">hese services in a </w:t>
      </w:r>
      <w:r w:rsidR="00C01670">
        <w:t xml:space="preserve">competitive marketplace wherein carriers pay reasonable fees for services that </w:t>
      </w:r>
      <w:r>
        <w:t xml:space="preserve">provide value </w:t>
      </w:r>
      <w:r w:rsidR="00C01670">
        <w:t>to them</w:t>
      </w:r>
      <w:r w:rsidR="00827B0C">
        <w:t xml:space="preserve">.  As such, </w:t>
      </w:r>
      <w:r w:rsidR="00AF705B">
        <w:t xml:space="preserve">any steps by the Commission to modify the existing regulatory regime should be carefully considered to avoid undermining the </w:t>
      </w:r>
      <w:r w:rsidR="00AF705B">
        <w:lastRenderedPageBreak/>
        <w:t xml:space="preserve">existing marketplace or </w:t>
      </w:r>
      <w:r>
        <w:t xml:space="preserve">forcing </w:t>
      </w:r>
      <w:r w:rsidR="00AF705B">
        <w:t>companies like Inteliquent to provide valuable services without reasonable compensation</w:t>
      </w:r>
      <w:r w:rsidR="00C01670">
        <w:t xml:space="preserve">. </w:t>
      </w:r>
      <w:r w:rsidR="00EA7392">
        <w:t xml:space="preserve">  </w:t>
      </w:r>
    </w:p>
    <w:p w14:paraId="19F33B90" w14:textId="62F94315" w:rsidR="00253EF4" w:rsidRDefault="00C048BF" w:rsidP="00FA7C66">
      <w:pPr>
        <w:pStyle w:val="BodyTextFirstHalfIndent2"/>
      </w:pPr>
      <w:r>
        <w:t xml:space="preserve">Inteliquent agrees with AT&amp;T and other commenters that certain entities have abused the current Intercarrier Compensation (“ICC”) system by </w:t>
      </w:r>
      <w:r w:rsidR="00827B0C">
        <w:t>engaging</w:t>
      </w:r>
      <w:r>
        <w:t xml:space="preserve"> in </w:t>
      </w:r>
      <w:r w:rsidR="000B7BBB">
        <w:t xml:space="preserve">access stimulation, and that the Commission should </w:t>
      </w:r>
      <w:r w:rsidR="008E7F55">
        <w:t xml:space="preserve">continue to </w:t>
      </w:r>
      <w:r w:rsidR="000B7BBB">
        <w:t xml:space="preserve">take steps to remedy these </w:t>
      </w:r>
      <w:r w:rsidR="00B7631A">
        <w:t>harms</w:t>
      </w:r>
      <w:r w:rsidR="000B7BBB">
        <w:t xml:space="preserve">.  Inteliquent also agrees with several commenters that requiring direct connection in the context of access stimulation activities would go a long way toward curbing these abuses.  But transitioning all tandem switching, transport, and transit charges to bill-and-keep, as </w:t>
      </w:r>
      <w:r w:rsidR="00D87A2F">
        <w:t>some parties</w:t>
      </w:r>
      <w:r w:rsidR="000B7BBB">
        <w:t xml:space="preserve"> have proposed, is akin to killing a fly with a sledgehammer.</w:t>
      </w:r>
      <w:r w:rsidR="00872BB3">
        <w:t xml:space="preserve">  These intermediate services provide real value in a competitive market, and the relatively few entities engaged in arbitrage activities </w:t>
      </w:r>
      <w:r w:rsidR="00827B0C">
        <w:t xml:space="preserve">(albeit at </w:t>
      </w:r>
      <w:r w:rsidR="008E7F55">
        <w:t xml:space="preserve">large scales) </w:t>
      </w:r>
      <w:r w:rsidR="00872BB3">
        <w:t>does not justify preventing Inteliquent and other</w:t>
      </w:r>
      <w:r w:rsidR="00253EF4">
        <w:t xml:space="preserve"> legitimate actor</w:t>
      </w:r>
      <w:r w:rsidR="00872BB3">
        <w:t xml:space="preserve">s from recovering the reasonable costs of providing those services, </w:t>
      </w:r>
      <w:r w:rsidR="0024708A">
        <w:t xml:space="preserve">which </w:t>
      </w:r>
      <w:r w:rsidR="00872BB3">
        <w:t>bill-and-keep would</w:t>
      </w:r>
      <w:r w:rsidR="008E7F55">
        <w:t xml:space="preserve"> </w:t>
      </w:r>
      <w:r w:rsidR="0024708A">
        <w:t xml:space="preserve">do </w:t>
      </w:r>
      <w:r w:rsidR="008E7F55">
        <w:t>by reducing these rates to zero</w:t>
      </w:r>
      <w:r w:rsidR="00872BB3">
        <w:t>.  Similarly, with respect to 8YY</w:t>
      </w:r>
      <w:r w:rsidR="008E7F55">
        <w:t xml:space="preserve"> originating access</w:t>
      </w:r>
      <w:r w:rsidR="00872BB3">
        <w:t xml:space="preserve"> traffic, Inteliquent reiterates its comments in the 8YY refresh comment cycle that arbitrage schemes can be addressed in a rational fashion without fundamentally altering the basic principle of 8YY traffic</w:t>
      </w:r>
      <w:r w:rsidR="00253EF4">
        <w:t xml:space="preserve"> that the calling party does not pay for the call.</w:t>
      </w:r>
    </w:p>
    <w:p w14:paraId="0A0F9795" w14:textId="4A9FDF58" w:rsidR="00253EF4" w:rsidRPr="00155DCE" w:rsidRDefault="00253EF4" w:rsidP="00253EF4">
      <w:pPr>
        <w:pStyle w:val="Heading1"/>
      </w:pPr>
      <w:r w:rsidRPr="00D519E6">
        <w:rPr>
          <w:b/>
          <w:caps/>
        </w:rPr>
        <w:t xml:space="preserve">Requiring Direct Connection to Entities Engaged in Access Stimulation Would </w:t>
      </w:r>
      <w:r w:rsidR="008E7F55" w:rsidRPr="00D519E6">
        <w:rPr>
          <w:b/>
          <w:caps/>
        </w:rPr>
        <w:t xml:space="preserve">Substantially </w:t>
      </w:r>
      <w:r w:rsidRPr="00D519E6">
        <w:rPr>
          <w:b/>
          <w:caps/>
        </w:rPr>
        <w:t>Curb Abuses</w:t>
      </w:r>
      <w:r>
        <w:rPr>
          <w:b/>
        </w:rPr>
        <w:t>.</w:t>
      </w:r>
    </w:p>
    <w:p w14:paraId="527AE926" w14:textId="77777777" w:rsidR="003A0985" w:rsidRDefault="00155DCE" w:rsidP="00155DCE">
      <w:pPr>
        <w:pStyle w:val="BodyTextFirstHalfIndent2"/>
      </w:pPr>
      <w:r w:rsidRPr="006C1D64">
        <w:t xml:space="preserve">In the </w:t>
      </w:r>
      <w:r w:rsidRPr="006C1D64">
        <w:rPr>
          <w:i/>
        </w:rPr>
        <w:t>2011 ICC Transformation FNPRM</w:t>
      </w:r>
      <w:r w:rsidRPr="006C1D64">
        <w:t>, the Commission recognized that access stimulation schemes “involve service providers exploiting loopholes in [FCC] rules and ultimately cost consumers hundreds of millions of dollars annually.”</w:t>
      </w:r>
      <w:r w:rsidRPr="006C1D64">
        <w:rPr>
          <w:rStyle w:val="FootnoteReference"/>
        </w:rPr>
        <w:footnoteReference w:id="3"/>
      </w:r>
      <w:r>
        <w:t xml:space="preserve">  The Commission cited several harmful effects of access stimulation in 2011, including that it “imposes undue costs on </w:t>
      </w:r>
      <w:r>
        <w:lastRenderedPageBreak/>
        <w:t>consumers, inefficiently diverting capital away from more productive uses such as broadband deployment.”</w:t>
      </w:r>
      <w:r>
        <w:rPr>
          <w:rStyle w:val="FootnoteReference"/>
        </w:rPr>
        <w:footnoteReference w:id="4"/>
      </w:r>
      <w:r>
        <w:t xml:space="preserve">  The Commission’s 2011 efforts to reduce access stimulation were laudable, and the situation is much improved since that time.</w:t>
      </w:r>
      <w:r w:rsidR="007A20EA">
        <w:t xml:space="preserve">  </w:t>
      </w:r>
    </w:p>
    <w:p w14:paraId="0DF0E74D" w14:textId="4FE74E70" w:rsidR="003A0985" w:rsidRDefault="007A20EA" w:rsidP="00155DCE">
      <w:pPr>
        <w:pStyle w:val="BodyTextFirstHalfIndent2"/>
      </w:pPr>
      <w:r>
        <w:t>Despite the Commission’s efforts, however, Inteliquent agrees with AT&amp;T and others that arbitrage continues to occur, and that “[c]arriers in remote areas of the country should not be allowed to abuse the network edge rules by partnering with unscrupulous tandem or transport providers on the sending carrier’s side of the edge to engage in traffic-pumping schemes or traffic aggregation schemes.”</w:t>
      </w:r>
      <w:r>
        <w:rPr>
          <w:rStyle w:val="FootnoteReference"/>
        </w:rPr>
        <w:footnoteReference w:id="5"/>
      </w:r>
      <w:r w:rsidR="003A0985">
        <w:t xml:space="preserve"> </w:t>
      </w:r>
    </w:p>
    <w:p w14:paraId="4CE08B54" w14:textId="75FDE4A3" w:rsidR="00D50BD9" w:rsidRDefault="00DC0B2E" w:rsidP="00155DCE">
      <w:pPr>
        <w:pStyle w:val="BodyTextFirstHalfIndent2"/>
      </w:pPr>
      <w:r>
        <w:t xml:space="preserve">To curtail these arbitrage schemes, Inteliquent agrees with commenters on both sides of the bill-and-keep debate that the Commission should mandate direct connection </w:t>
      </w:r>
      <w:r w:rsidR="003A0985">
        <w:t xml:space="preserve">when a carrier is engaged in access stimulation. </w:t>
      </w:r>
      <w:r w:rsidR="00D50BD9">
        <w:t>AT&amp;T</w:t>
      </w:r>
      <w:r w:rsidR="00FF1215">
        <w:t>’s comments also provide support for requiring direct connection in the access stimulation context.  AT&amp;T</w:t>
      </w:r>
      <w:r w:rsidR="00D50BD9">
        <w:t xml:space="preserve"> notes that “</w:t>
      </w:r>
      <w:r w:rsidR="00FF1215">
        <w:t xml:space="preserve">access stimulation schemes </w:t>
      </w:r>
      <w:r w:rsidR="00D50BD9">
        <w:t>that have endured often involve situations in which carriers have refused direct connections.”</w:t>
      </w:r>
      <w:r w:rsidR="00D50BD9">
        <w:rPr>
          <w:rStyle w:val="FootnoteReference"/>
        </w:rPr>
        <w:footnoteReference w:id="6"/>
      </w:r>
      <w:r w:rsidR="00613213">
        <w:t xml:space="preserve">  </w:t>
      </w:r>
      <w:r w:rsidR="00FF1215">
        <w:t>To illustrate this point, AT&amp;T</w:t>
      </w:r>
      <w:r w:rsidR="00613213">
        <w:t xml:space="preserve"> cites its FCC Complaint against Iowa Network Services, Inc.</w:t>
      </w:r>
      <w:r w:rsidR="007F5A80">
        <w:t xml:space="preserve"> (“INS”)</w:t>
      </w:r>
      <w:r w:rsidR="00613213">
        <w:t>, and “estimates that, if direct connections were used to carry the traffic, the costs would be a tiny fraction of the tariffed transport charges.”</w:t>
      </w:r>
      <w:r w:rsidR="00613213">
        <w:rPr>
          <w:rStyle w:val="FootnoteReference"/>
        </w:rPr>
        <w:footnoteReference w:id="7"/>
      </w:r>
      <w:r w:rsidR="00FF1215">
        <w:t xml:space="preserve">  It follows, therefore, that requiring direct </w:t>
      </w:r>
      <w:r w:rsidR="00FF1215">
        <w:lastRenderedPageBreak/>
        <w:t>connections to entities</w:t>
      </w:r>
      <w:r w:rsidR="003D5BC4">
        <w:t xml:space="preserve"> involved in access stimulation </w:t>
      </w:r>
      <w:r w:rsidR="00FF1215">
        <w:t>would substantially curb the current abuses that AT&amp;T has highlighted.</w:t>
      </w:r>
    </w:p>
    <w:p w14:paraId="52362A63" w14:textId="46F8983E" w:rsidR="00DB75FF" w:rsidRPr="00253EF4" w:rsidRDefault="00613213" w:rsidP="00601788">
      <w:pPr>
        <w:pStyle w:val="BodyTextFirstHalfIndent2"/>
      </w:pPr>
      <w:r>
        <w:t xml:space="preserve">The record </w:t>
      </w:r>
      <w:r w:rsidR="00B7631A">
        <w:t>accordingly</w:t>
      </w:r>
      <w:r>
        <w:t xml:space="preserve"> provides substantial support for the Commission to require direct connections</w:t>
      </w:r>
      <w:r w:rsidR="003D5BC4">
        <w:t xml:space="preserve"> in the context of access stimulation </w:t>
      </w:r>
      <w:r w:rsidR="00A458FA">
        <w:rPr>
          <w:rFonts w:cstheme="minorHAnsi"/>
        </w:rPr>
        <w:t>—</w:t>
      </w:r>
      <w:r w:rsidR="00A458FA">
        <w:t>“the most efficient technical and economical choice</w:t>
      </w:r>
      <w:r w:rsidR="003D5BC4">
        <w:t>.</w:t>
      </w:r>
      <w:r w:rsidR="00A458FA">
        <w:t>”</w:t>
      </w:r>
      <w:r w:rsidR="00A458FA">
        <w:rPr>
          <w:rStyle w:val="FootnoteReference"/>
        </w:rPr>
        <w:footnoteReference w:id="8"/>
      </w:r>
      <w:r>
        <w:t xml:space="preserve">  </w:t>
      </w:r>
      <w:r w:rsidR="00CD3354">
        <w:t xml:space="preserve">At the same time, </w:t>
      </w:r>
      <w:r>
        <w:t xml:space="preserve">Inteliquent recognizes that the Commission generally does not mandate a particular network architecture, and therefore may not be inclined to require direct connection in all circumstances.  Instead, the </w:t>
      </w:r>
      <w:r w:rsidR="00B7631A">
        <w:t>Commission</w:t>
      </w:r>
      <w:r>
        <w:t xml:space="preserve"> should require direct connections in the isolated case of access stimulation, consistent with comments that indicate that direct connection would </w:t>
      </w:r>
      <w:r w:rsidR="00B7631A">
        <w:t>substantially</w:t>
      </w:r>
      <w:r>
        <w:t xml:space="preserve"> curtail such practices.</w:t>
      </w:r>
      <w:r>
        <w:rPr>
          <w:rStyle w:val="FootnoteReference"/>
        </w:rPr>
        <w:footnoteReference w:id="9"/>
      </w:r>
      <w:r w:rsidR="00601788">
        <w:t xml:space="preserve">  </w:t>
      </w:r>
    </w:p>
    <w:p w14:paraId="340C1FE1" w14:textId="2F8194E2" w:rsidR="00253EF4" w:rsidRPr="000C2EFB" w:rsidRDefault="00253EF4" w:rsidP="00C84334">
      <w:pPr>
        <w:pStyle w:val="Heading1"/>
        <w:keepNext/>
      </w:pPr>
      <w:r w:rsidRPr="00D519E6">
        <w:rPr>
          <w:b/>
          <w:caps/>
        </w:rPr>
        <w:t>The Commission Should Not Undermine the Competitive Market in Tandem Switching, Transport, and Transit Services</w:t>
      </w:r>
      <w:r>
        <w:rPr>
          <w:b/>
        </w:rPr>
        <w:t>.</w:t>
      </w:r>
    </w:p>
    <w:p w14:paraId="193977F9" w14:textId="3F185493" w:rsidR="000C2EFB" w:rsidRDefault="000C2EFB" w:rsidP="00C84334">
      <w:pPr>
        <w:pStyle w:val="BodyTextFirstHalfIndent2"/>
        <w:keepNext/>
      </w:pPr>
      <w:r>
        <w:t>Inteliquent agrees with those commenters that oppose transitioning tandem switching, transport, and transit services to bill-and-keep.  The rationale underlying the bill-and-keep system is that a carrier must “look[] to its end users . . . to pay for the costs of its network.”</w:t>
      </w:r>
      <w:r>
        <w:rPr>
          <w:rStyle w:val="FootnoteReference"/>
        </w:rPr>
        <w:footnoteReference w:id="10"/>
      </w:r>
      <w:r w:rsidR="00E77E88">
        <w:t xml:space="preserve">  By definition, intermediate services such as tandem switching, transport, and transit services do not directly serve end-users, but instead provide valuable services to exchange traffic between the networks of other carriers and their end-users.  If these intermediate services were transitioned to </w:t>
      </w:r>
      <w:r w:rsidR="00E77E88">
        <w:lastRenderedPageBreak/>
        <w:t xml:space="preserve">bill-and-keep, Inteliquent and others would have no </w:t>
      </w:r>
      <w:r w:rsidR="00FF1215">
        <w:t>means</w:t>
      </w:r>
      <w:r w:rsidR="00E77E88">
        <w:t xml:space="preserve"> to obtain reasonable compensation for these services.</w:t>
      </w:r>
      <w:r w:rsidR="00E77E88">
        <w:rPr>
          <w:rStyle w:val="FootnoteReference"/>
        </w:rPr>
        <w:footnoteReference w:id="11"/>
      </w:r>
      <w:r w:rsidR="00E77E88">
        <w:t xml:space="preserve">  </w:t>
      </w:r>
    </w:p>
    <w:p w14:paraId="21CD9033" w14:textId="77C2B1E0" w:rsidR="00C31350" w:rsidRDefault="00C31350" w:rsidP="000C2EFB">
      <w:pPr>
        <w:pStyle w:val="BodyTextFirstHalfIndent2"/>
      </w:pPr>
      <w:r>
        <w:t xml:space="preserve">As CenturyLink correctly </w:t>
      </w:r>
      <w:r w:rsidR="006073A5">
        <w:t>emphasizes</w:t>
      </w:r>
      <w:r>
        <w:t>, these intermediate services “are costly to build and maintain,” and “continued robust investment in these facilities . . . will only occur if carriers are assured of their ability to obtain fair compensation for their services.”</w:t>
      </w:r>
      <w:r>
        <w:rPr>
          <w:rStyle w:val="FootnoteReference"/>
        </w:rPr>
        <w:footnoteReference w:id="12"/>
      </w:r>
      <w:r w:rsidR="00CD3354">
        <w:t xml:space="preserve">  </w:t>
      </w:r>
      <w:r w:rsidR="00E533C7">
        <w:t xml:space="preserve">As </w:t>
      </w:r>
      <w:r w:rsidR="00FF1215">
        <w:t xml:space="preserve">AT&amp;T </w:t>
      </w:r>
      <w:r w:rsidR="00E533C7">
        <w:t>points out,</w:t>
      </w:r>
      <w:r w:rsidR="006073A5">
        <w:t xml:space="preserve"> “these services are now highly competitive in most areas of the country.”</w:t>
      </w:r>
      <w:r w:rsidR="006073A5">
        <w:rPr>
          <w:rStyle w:val="FootnoteReference"/>
        </w:rPr>
        <w:footnoteReference w:id="13"/>
      </w:r>
      <w:r w:rsidR="006073A5">
        <w:t xml:space="preserve">  A transition to bill-and-keep</w:t>
      </w:r>
      <w:r w:rsidR="00E533C7">
        <w:t>, however,</w:t>
      </w:r>
      <w:r w:rsidR="006073A5">
        <w:t xml:space="preserve"> would </w:t>
      </w:r>
      <w:r w:rsidR="00E533C7">
        <w:t>put that competition at risk</w:t>
      </w:r>
      <w:r w:rsidR="00DF1B0F">
        <w:t>—all</w:t>
      </w:r>
      <w:r w:rsidR="007F5A80">
        <w:t xml:space="preserve"> </w:t>
      </w:r>
      <w:r w:rsidR="00CD3354">
        <w:t xml:space="preserve">based on an overcorrection in response to </w:t>
      </w:r>
      <w:r w:rsidR="007F5A80">
        <w:t>the actions of relatively few bad actors</w:t>
      </w:r>
      <w:r w:rsidR="006073A5">
        <w:t>.</w:t>
      </w:r>
      <w:r w:rsidR="007F5A80">
        <w:rPr>
          <w:rStyle w:val="FootnoteReference"/>
        </w:rPr>
        <w:footnoteReference w:id="14"/>
      </w:r>
      <w:r w:rsidR="006073A5">
        <w:t xml:space="preserve">  As such, Inteliquent agrees with CenturyLink that the Commission “should find that bill and keep should not be mandated</w:t>
      </w:r>
      <w:r w:rsidR="00DF1B0F">
        <w:t>”</w:t>
      </w:r>
      <w:r w:rsidR="006073A5">
        <w:t xml:space="preserve"> for tandem sw</w:t>
      </w:r>
      <w:r w:rsidR="00DF1B0F">
        <w:t>itching and transport services.</w:t>
      </w:r>
      <w:r w:rsidR="006073A5">
        <w:rPr>
          <w:rStyle w:val="FootnoteReference"/>
        </w:rPr>
        <w:footnoteReference w:id="15"/>
      </w:r>
      <w:r w:rsidR="007D0D33">
        <w:t xml:space="preserve">  </w:t>
      </w:r>
      <w:r w:rsidR="00CD3354">
        <w:t xml:space="preserve">Transitioning these intermediate services to bill-and-keep </w:t>
      </w:r>
      <w:r w:rsidR="007D0D33">
        <w:t xml:space="preserve">would only serve to undermine the current competitive market where carrier customers </w:t>
      </w:r>
      <w:r w:rsidR="00CD3354">
        <w:t xml:space="preserve">purchase </w:t>
      </w:r>
      <w:r w:rsidR="007D0D33">
        <w:t>services under a permissive tariffing regime</w:t>
      </w:r>
      <w:r w:rsidR="00E83CE4">
        <w:t xml:space="preserve"> and “disincentivize further investment in intermediate network services</w:t>
      </w:r>
      <w:r w:rsidR="007D0D33">
        <w:t>.</w:t>
      </w:r>
      <w:r w:rsidR="00E83CE4">
        <w:t>”</w:t>
      </w:r>
      <w:r w:rsidR="007D0D33">
        <w:rPr>
          <w:rStyle w:val="FootnoteReference"/>
        </w:rPr>
        <w:footnoteReference w:id="16"/>
      </w:r>
    </w:p>
    <w:p w14:paraId="25186385" w14:textId="0A7AB188" w:rsidR="00615225" w:rsidRPr="000C2EFB" w:rsidRDefault="00615225" w:rsidP="000C2EFB">
      <w:pPr>
        <w:pStyle w:val="BodyTextFirstHalfIndent2"/>
      </w:pPr>
      <w:r>
        <w:t>Instead, these intermediate network services should continue to be “compensable based on market forces,” and “the Commission should refrain from transitioning the remaining elements associated with tandem switching and transport to bill-and-keep.”</w:t>
      </w:r>
      <w:r>
        <w:rPr>
          <w:rStyle w:val="FootnoteReference"/>
        </w:rPr>
        <w:footnoteReference w:id="17"/>
      </w:r>
    </w:p>
    <w:p w14:paraId="0509538C" w14:textId="1B10D530" w:rsidR="000B7BBB" w:rsidRDefault="00E533C7" w:rsidP="00253EF4">
      <w:pPr>
        <w:pStyle w:val="Heading1"/>
      </w:pPr>
      <w:r w:rsidRPr="00D519E6">
        <w:rPr>
          <w:b/>
          <w:caps/>
        </w:rPr>
        <w:lastRenderedPageBreak/>
        <w:t xml:space="preserve">The Commission Should Take Targeted Steps to Address Abuses in </w:t>
      </w:r>
      <w:r w:rsidR="00253EF4" w:rsidRPr="00D519E6">
        <w:rPr>
          <w:b/>
          <w:caps/>
        </w:rPr>
        <w:t xml:space="preserve">8YY </w:t>
      </w:r>
      <w:r w:rsidRPr="00D519E6">
        <w:rPr>
          <w:b/>
          <w:caps/>
        </w:rPr>
        <w:t>Charges</w:t>
      </w:r>
      <w:r w:rsidR="0093718E">
        <w:rPr>
          <w:b/>
        </w:rPr>
        <w:t>.</w:t>
      </w:r>
      <w:r w:rsidR="00872BB3">
        <w:t xml:space="preserve"> </w:t>
      </w:r>
      <w:r w:rsidR="000B7BBB">
        <w:t xml:space="preserve">  </w:t>
      </w:r>
    </w:p>
    <w:p w14:paraId="61870F7F" w14:textId="4E593BDD" w:rsidR="000B7BBB" w:rsidRDefault="00121265" w:rsidP="00121265">
      <w:pPr>
        <w:pStyle w:val="BodyTextFirstHalfIndent2"/>
      </w:pPr>
      <w:r>
        <w:t xml:space="preserve">Although 8YY is not the focus of this comment cycle, </w:t>
      </w:r>
      <w:r w:rsidR="00E533C7">
        <w:t xml:space="preserve">the record reflects debate over the proper treatment of 8YY </w:t>
      </w:r>
      <w:r>
        <w:t>originating access services</w:t>
      </w:r>
      <w:r w:rsidR="0093718E">
        <w:rPr>
          <w:rFonts w:cstheme="minorHAnsi"/>
        </w:rPr>
        <w:t>—</w:t>
      </w:r>
      <w:r w:rsidR="00E533C7">
        <w:t>including some suggestions to transition these services to bill-and-keep.</w:t>
      </w:r>
      <w:r w:rsidR="008D3805">
        <w:rPr>
          <w:rStyle w:val="FootnoteReference"/>
        </w:rPr>
        <w:footnoteReference w:id="18"/>
      </w:r>
      <w:r>
        <w:t xml:space="preserve">  As Inteliquent explained in the 8YY refresh proceedings, however, “a bill-and-keep approach applied to 8YY origination defeats the very purpose of a toll-free call, which is to alleviate the calling party from paying for the call, and to shift those fees to the toll-free customer, the called party.”</w:t>
      </w:r>
      <w:r w:rsidR="008D3805">
        <w:rPr>
          <w:rStyle w:val="FootnoteReference"/>
        </w:rPr>
        <w:footnoteReference w:id="19"/>
      </w:r>
    </w:p>
    <w:p w14:paraId="7063719B" w14:textId="6F8756B1" w:rsidR="001013DB" w:rsidRDefault="008D3805" w:rsidP="00C43E0F">
      <w:pPr>
        <w:pStyle w:val="BodyTextFirstHalfIndent2"/>
      </w:pPr>
      <w:r>
        <w:t>Thus, instead of a bill-and-keep approach to 8YY origination, Inteliquent continues to urge the Commission to take a targeted approach</w:t>
      </w:r>
      <w:r w:rsidR="00E533C7">
        <w:t>.</w:t>
      </w:r>
      <w:r w:rsidR="00C43E0F">
        <w:t xml:space="preserve">  A letter recently filed by a </w:t>
      </w:r>
      <w:r w:rsidR="000E7228">
        <w:t xml:space="preserve">broad </w:t>
      </w:r>
      <w:r w:rsidR="00C43E0F">
        <w:t xml:space="preserve">group of </w:t>
      </w:r>
      <w:r w:rsidR="000E7228">
        <w:t xml:space="preserve">rural </w:t>
      </w:r>
      <w:r w:rsidR="00C43E0F">
        <w:t xml:space="preserve">LEC associations, cable associations, and other LECs supports </w:t>
      </w:r>
      <w:r w:rsidR="000E7228">
        <w:t xml:space="preserve">such a </w:t>
      </w:r>
      <w:r w:rsidR="00C43E0F">
        <w:t>“targeted action” approach.</w:t>
      </w:r>
      <w:r w:rsidR="00C43E0F">
        <w:rPr>
          <w:rStyle w:val="FootnoteReference"/>
        </w:rPr>
        <w:footnoteReference w:id="20"/>
      </w:r>
      <w:r w:rsidR="00B016FA">
        <w:t xml:space="preserve">  Inteliquent agrees with the</w:t>
      </w:r>
      <w:r w:rsidR="000E7228">
        <w:t>se parties</w:t>
      </w:r>
      <w:r w:rsidR="00B016FA">
        <w:t xml:space="preserve"> that while the Commission should undertake “targeted measures to address abusive 8YY arbitrage schemes,” it should </w:t>
      </w:r>
      <w:r w:rsidR="00B016FA">
        <w:rPr>
          <w:i/>
        </w:rPr>
        <w:t>not</w:t>
      </w:r>
      <w:r w:rsidR="00B016FA">
        <w:t xml:space="preserve"> transition 8YY origination charges to bill-and-keep, which “is in tension with the concept of toll-free calling”</w:t>
      </w:r>
      <w:r w:rsidR="000E22C9">
        <w:t xml:space="preserve"> and</w:t>
      </w:r>
      <w:r w:rsidR="00B016FA">
        <w:t xml:space="preserve"> would cause consumers to “suffer as rates increase</w:t>
      </w:r>
      <w:r w:rsidR="000E22C9">
        <w:t xml:space="preserve"> to subsidize a business service.”</w:t>
      </w:r>
      <w:r w:rsidR="000E22C9">
        <w:rPr>
          <w:rStyle w:val="FootnoteReference"/>
        </w:rPr>
        <w:footnoteReference w:id="21"/>
      </w:r>
      <w:r w:rsidR="000E22C9">
        <w:t xml:space="preserve">  Nor should 8YY database dip charges transition to bill-and-keep, as LECs are unable to recover these costs from 8YY subscribers with whom they have no relationship, and should not be required to </w:t>
      </w:r>
      <w:r w:rsidR="000E22C9">
        <w:lastRenderedPageBreak/>
        <w:t>provide database query services for free.</w:t>
      </w:r>
      <w:r w:rsidR="000E22C9">
        <w:rPr>
          <w:rStyle w:val="FootnoteReference"/>
        </w:rPr>
        <w:footnoteReference w:id="22"/>
      </w:r>
      <w:r w:rsidR="000E7228">
        <w:t xml:space="preserve">  </w:t>
      </w:r>
      <w:r w:rsidR="00E533C7">
        <w:t xml:space="preserve">Inteliquent agrees, however, that the Commission should take steps to reign in </w:t>
      </w:r>
      <w:r w:rsidR="008228DF">
        <w:t xml:space="preserve">inflated database queries charged by certain CLECs.  </w:t>
      </w:r>
    </w:p>
    <w:p w14:paraId="526485D7" w14:textId="77777777" w:rsidR="00DA6341" w:rsidRDefault="00DA6341">
      <w:pPr>
        <w:rPr>
          <w:rFonts w:asciiTheme="majorHAnsi" w:eastAsiaTheme="majorEastAsia" w:hAnsiTheme="majorHAnsi" w:cstheme="majorBidi"/>
          <w:b/>
          <w:szCs w:val="52"/>
        </w:rPr>
      </w:pPr>
    </w:p>
    <w:p w14:paraId="0F2AF4A5" w14:textId="622A989A" w:rsidR="00080E8F" w:rsidRPr="00647380" w:rsidRDefault="00BA3FB7" w:rsidP="00BA3FB7">
      <w:pPr>
        <w:pStyle w:val="Title"/>
      </w:pPr>
      <w:r>
        <w:t>CONCLUSION</w:t>
      </w:r>
    </w:p>
    <w:p w14:paraId="7DF80B6B" w14:textId="7C0C4995" w:rsidR="00647380" w:rsidRPr="000E22C9" w:rsidRDefault="00BC53A1" w:rsidP="00647380">
      <w:pPr>
        <w:pStyle w:val="BodyTextFirstHalfIndent2"/>
      </w:pPr>
      <w:r>
        <w:t xml:space="preserve">Inteliquent agrees </w:t>
      </w:r>
      <w:r w:rsidR="000E22C9">
        <w:t xml:space="preserve">that the Commission should take targeted steps to address arbitrage schemes, consistent with the goals of the </w:t>
      </w:r>
      <w:r w:rsidR="000E22C9" w:rsidRPr="006C1D64">
        <w:rPr>
          <w:i/>
        </w:rPr>
        <w:t>2011 ICC Transformation FNPRM</w:t>
      </w:r>
      <w:r w:rsidR="000E22C9">
        <w:t>.  Requiring direct connection to entities engaged in access stimulation</w:t>
      </w:r>
      <w:r w:rsidR="009D5855">
        <w:t xml:space="preserve"> would significantly curb these abuses.  But transitioning all intermediate services to bill-and-keep, as some have proposed, is the wrong solution.  To do so would severely curtail the </w:t>
      </w:r>
      <w:r w:rsidR="008E7F55">
        <w:t>existing competitive</w:t>
      </w:r>
      <w:r w:rsidR="009D5855">
        <w:t xml:space="preserve"> market in intermediate services wherein Inteliquent and others provide valuable services to carriers </w:t>
      </w:r>
      <w:r w:rsidR="008E7F55">
        <w:t xml:space="preserve">in exchange </w:t>
      </w:r>
      <w:r w:rsidR="009D5855">
        <w:t>for reasonable fees.</w:t>
      </w:r>
    </w:p>
    <w:p w14:paraId="0F7DE4B2" w14:textId="00381479" w:rsidR="000566EB" w:rsidRDefault="000566EB" w:rsidP="003B0A00">
      <w:pPr>
        <w:pStyle w:val="BodyTextFirstIndentDouble"/>
        <w:spacing w:line="240" w:lineRule="auto"/>
        <w:ind w:firstLine="4507"/>
      </w:pPr>
    </w:p>
    <w:p w14:paraId="7A34E450" w14:textId="77777777" w:rsidR="000566EB" w:rsidRDefault="000566EB" w:rsidP="003B0A00">
      <w:pPr>
        <w:pStyle w:val="BodyTextFirstIndentDouble"/>
        <w:spacing w:line="240" w:lineRule="auto"/>
        <w:ind w:firstLine="4507"/>
      </w:pPr>
    </w:p>
    <w:p w14:paraId="2FDB11E4" w14:textId="58D839F9" w:rsidR="003B0A00" w:rsidRDefault="003B0A00" w:rsidP="003B0A00">
      <w:pPr>
        <w:pStyle w:val="BodyTextFirstIndentDouble"/>
        <w:spacing w:line="240" w:lineRule="auto"/>
        <w:ind w:firstLine="4507"/>
      </w:pPr>
      <w:r>
        <w:t>Respectfully submitted,</w:t>
      </w:r>
    </w:p>
    <w:p w14:paraId="024A21C9" w14:textId="77777777" w:rsidR="003B0A00" w:rsidRDefault="003B0A00" w:rsidP="003B0A00">
      <w:pPr>
        <w:pStyle w:val="BodyTextFirstIndentDouble"/>
        <w:spacing w:line="240" w:lineRule="auto"/>
        <w:ind w:firstLine="4507"/>
      </w:pPr>
    </w:p>
    <w:p w14:paraId="70FEDA35" w14:textId="2A50749B" w:rsidR="003B0A00" w:rsidRPr="00F627AB" w:rsidRDefault="000566EB" w:rsidP="003B0A00">
      <w:pPr>
        <w:pStyle w:val="BodyTextFirstIndentDouble"/>
        <w:spacing w:line="240" w:lineRule="auto"/>
        <w:ind w:firstLine="4507"/>
        <w:rPr>
          <w:lang w:val="en-US"/>
        </w:rPr>
      </w:pPr>
      <w:r>
        <w:rPr>
          <w:lang w:val="en-US"/>
        </w:rPr>
        <w:t>/s/ Gerard J. Waldron</w:t>
      </w:r>
    </w:p>
    <w:tbl>
      <w:tblPr>
        <w:tblpPr w:leftFromText="180" w:rightFromText="180" w:vertAnchor="text" w:horzAnchor="margin" w:tblpY="218"/>
        <w:tblW w:w="9119" w:type="dxa"/>
        <w:tblLayout w:type="fixed"/>
        <w:tblLook w:val="0000" w:firstRow="0" w:lastRow="0" w:firstColumn="0" w:lastColumn="0" w:noHBand="0" w:noVBand="0"/>
      </w:tblPr>
      <w:tblGrid>
        <w:gridCol w:w="4529"/>
        <w:gridCol w:w="4590"/>
      </w:tblGrid>
      <w:tr w:rsidR="003B0A00" w14:paraId="5D344335" w14:textId="77777777" w:rsidTr="00011A1D">
        <w:trPr>
          <w:cantSplit/>
        </w:trPr>
        <w:tc>
          <w:tcPr>
            <w:tcW w:w="4529" w:type="dxa"/>
          </w:tcPr>
          <w:p w14:paraId="7C061A50" w14:textId="77777777" w:rsidR="003B0A00" w:rsidRPr="00DB55B8" w:rsidRDefault="003B0A00" w:rsidP="00011A1D">
            <w:pPr>
              <w:pStyle w:val="Signature"/>
              <w:ind w:left="0"/>
              <w:rPr>
                <w:rFonts w:eastAsia="Times New Roman"/>
              </w:rPr>
            </w:pPr>
          </w:p>
        </w:tc>
        <w:tc>
          <w:tcPr>
            <w:tcW w:w="4590" w:type="dxa"/>
            <w:tcBorders>
              <w:top w:val="single" w:sz="4" w:space="0" w:color="auto"/>
            </w:tcBorders>
          </w:tcPr>
          <w:p w14:paraId="112C77F6" w14:textId="77777777" w:rsidR="003B0A00" w:rsidRPr="00DB55B8" w:rsidRDefault="003B0A00" w:rsidP="00011A1D">
            <w:pPr>
              <w:pStyle w:val="Signature"/>
              <w:ind w:left="0"/>
              <w:rPr>
                <w:rFonts w:eastAsia="Times New Roman"/>
              </w:rPr>
            </w:pPr>
            <w:r w:rsidRPr="00DB55B8">
              <w:rPr>
                <w:rFonts w:eastAsia="Times New Roman"/>
              </w:rPr>
              <w:t>Gerard J. Waldron</w:t>
            </w:r>
          </w:p>
          <w:p w14:paraId="7202C672" w14:textId="77777777" w:rsidR="003B0A00" w:rsidRPr="00443C1B" w:rsidRDefault="003B0A00" w:rsidP="00011A1D">
            <w:pPr>
              <w:pStyle w:val="Signature"/>
              <w:ind w:left="0"/>
              <w:rPr>
                <w:rFonts w:eastAsia="Times New Roman"/>
              </w:rPr>
            </w:pPr>
            <w:r>
              <w:rPr>
                <w:rFonts w:eastAsia="Times New Roman"/>
              </w:rPr>
              <w:t>David J. Bender</w:t>
            </w:r>
          </w:p>
          <w:p w14:paraId="6F83F873" w14:textId="77777777" w:rsidR="003B0A00" w:rsidRDefault="003B0A00" w:rsidP="00011A1D">
            <w:pPr>
              <w:pStyle w:val="Signature"/>
              <w:ind w:left="0"/>
              <w:rPr>
                <w:rFonts w:eastAsia="Times New Roman"/>
                <w:smallCaps/>
              </w:rPr>
            </w:pPr>
            <w:r w:rsidRPr="00DB55B8">
              <w:rPr>
                <w:rFonts w:eastAsia="Times New Roman"/>
                <w:smallCaps/>
              </w:rPr>
              <w:t xml:space="preserve">Covington &amp; Burling LLP </w:t>
            </w:r>
          </w:p>
          <w:p w14:paraId="34DF497E" w14:textId="77777777" w:rsidR="003B0A00" w:rsidRPr="00D519E6" w:rsidRDefault="003B0A00" w:rsidP="00011A1D">
            <w:pPr>
              <w:pStyle w:val="Signature"/>
              <w:ind w:left="0"/>
              <w:rPr>
                <w:rFonts w:eastAsia="Times New Roman"/>
                <w:u w:val="single"/>
              </w:rPr>
            </w:pPr>
            <w:r w:rsidRPr="00D519E6">
              <w:rPr>
                <w:rFonts w:eastAsia="Times New Roman"/>
              </w:rPr>
              <w:t>One CityCenter</w:t>
            </w:r>
          </w:p>
          <w:p w14:paraId="75132808" w14:textId="77777777" w:rsidR="003B0A00" w:rsidRDefault="003B0A00" w:rsidP="00011A1D">
            <w:pPr>
              <w:pStyle w:val="Signature"/>
              <w:ind w:left="0"/>
              <w:rPr>
                <w:rFonts w:eastAsia="Times New Roman"/>
              </w:rPr>
            </w:pPr>
            <w:r>
              <w:rPr>
                <w:rFonts w:eastAsia="Times New Roman"/>
              </w:rPr>
              <w:t>850 10th St., NW</w:t>
            </w:r>
          </w:p>
          <w:p w14:paraId="7AF3C31F" w14:textId="77777777" w:rsidR="003B0A00" w:rsidRPr="00DB55B8" w:rsidRDefault="003B0A00" w:rsidP="00011A1D">
            <w:pPr>
              <w:pStyle w:val="Signature"/>
              <w:ind w:left="0"/>
              <w:rPr>
                <w:rFonts w:eastAsia="Times New Roman"/>
              </w:rPr>
            </w:pPr>
            <w:r w:rsidRPr="00DB55B8">
              <w:rPr>
                <w:rFonts w:eastAsia="Times New Roman"/>
              </w:rPr>
              <w:t>Washington, D.C.  2000</w:t>
            </w:r>
            <w:r>
              <w:rPr>
                <w:rFonts w:eastAsia="Times New Roman"/>
              </w:rPr>
              <w:t xml:space="preserve">1 </w:t>
            </w:r>
          </w:p>
          <w:p w14:paraId="74918527" w14:textId="77777777" w:rsidR="003B0A00" w:rsidRPr="00DB55B8" w:rsidRDefault="003B0A00" w:rsidP="00011A1D">
            <w:pPr>
              <w:pStyle w:val="Signature"/>
              <w:ind w:left="0"/>
              <w:rPr>
                <w:rFonts w:eastAsia="Times New Roman"/>
              </w:rPr>
            </w:pPr>
            <w:r w:rsidRPr="00DB55B8">
              <w:rPr>
                <w:rFonts w:eastAsia="Times New Roman"/>
              </w:rPr>
              <w:t xml:space="preserve">(202) 662-6000 </w:t>
            </w:r>
          </w:p>
          <w:p w14:paraId="0DAE23FB" w14:textId="77777777" w:rsidR="003B0A00" w:rsidRPr="00DB55B8" w:rsidRDefault="003B0A00" w:rsidP="00011A1D">
            <w:pPr>
              <w:pStyle w:val="Signature"/>
              <w:ind w:left="0"/>
              <w:rPr>
                <w:rFonts w:eastAsia="Times New Roman"/>
              </w:rPr>
            </w:pPr>
          </w:p>
          <w:p w14:paraId="6CA6FC91" w14:textId="77777777" w:rsidR="003B0A00" w:rsidRPr="00DB55B8" w:rsidRDefault="003B0A00" w:rsidP="003B0A00">
            <w:pPr>
              <w:pStyle w:val="Signature"/>
              <w:ind w:left="0"/>
              <w:rPr>
                <w:rFonts w:eastAsia="Times New Roman"/>
                <w:i/>
              </w:rPr>
            </w:pPr>
            <w:r>
              <w:rPr>
                <w:rFonts w:eastAsia="Times New Roman"/>
                <w:i/>
              </w:rPr>
              <w:t xml:space="preserve">Counsel for Inteliquent, Inc. </w:t>
            </w:r>
          </w:p>
        </w:tc>
      </w:tr>
    </w:tbl>
    <w:p w14:paraId="39031DE6" w14:textId="77777777" w:rsidR="003B0A00" w:rsidRDefault="003B0A00" w:rsidP="003B0A00">
      <w:pPr>
        <w:pStyle w:val="BodyTextFirstIndentDouble"/>
        <w:spacing w:line="240" w:lineRule="auto"/>
        <w:ind w:firstLine="0"/>
      </w:pPr>
    </w:p>
    <w:p w14:paraId="479ECBA2" w14:textId="77777777" w:rsidR="003B0A00" w:rsidRDefault="003B0A00" w:rsidP="003B0A00"/>
    <w:p w14:paraId="31F6DFD7" w14:textId="77777777" w:rsidR="003B0A00" w:rsidRDefault="003B0A00" w:rsidP="003B0A00">
      <w:r>
        <w:t xml:space="preserve">  </w:t>
      </w:r>
    </w:p>
    <w:p w14:paraId="66F61AB6" w14:textId="6D9B384B" w:rsidR="00125A52" w:rsidRPr="00E268DF" w:rsidRDefault="0093718E" w:rsidP="003B0A00">
      <w:pPr>
        <w:pStyle w:val="BodyTextFirstHalfIndent2"/>
        <w:ind w:firstLine="0"/>
      </w:pPr>
      <w:r>
        <w:t>November 20</w:t>
      </w:r>
      <w:r w:rsidR="003B0A00">
        <w:t>, 2017</w:t>
      </w:r>
    </w:p>
    <w:sectPr w:rsidR="00125A52" w:rsidRPr="00E268DF" w:rsidSect="00727E49">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607016" w14:textId="77777777" w:rsidR="00EE3395" w:rsidRDefault="00EE3395" w:rsidP="00BF44A2">
      <w:r>
        <w:separator/>
      </w:r>
    </w:p>
  </w:endnote>
  <w:endnote w:type="continuationSeparator" w:id="0">
    <w:p w14:paraId="6B34986A" w14:textId="77777777" w:rsidR="00EE3395" w:rsidRDefault="00EE3395" w:rsidP="00BF4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1571D" w14:textId="77777777" w:rsidR="008654A6" w:rsidRDefault="008654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240765"/>
      <w:docPartObj>
        <w:docPartGallery w:val="Page Numbers (Bottom of Page)"/>
        <w:docPartUnique/>
      </w:docPartObj>
    </w:sdtPr>
    <w:sdtEndPr>
      <w:rPr>
        <w:noProof/>
      </w:rPr>
    </w:sdtEndPr>
    <w:sdtContent>
      <w:p w14:paraId="109FD4D9" w14:textId="1E2B23CA" w:rsidR="00E77EFF" w:rsidRDefault="00E77EFF">
        <w:pPr>
          <w:pStyle w:val="Footer"/>
          <w:jc w:val="center"/>
        </w:pPr>
        <w:r>
          <w:fldChar w:fldCharType="begin"/>
        </w:r>
        <w:r>
          <w:instrText xml:space="preserve"> PAGE   \* MERGEFORMAT </w:instrText>
        </w:r>
        <w:r>
          <w:fldChar w:fldCharType="separate"/>
        </w:r>
        <w:r w:rsidR="008654A6">
          <w:rPr>
            <w:noProof/>
          </w:rPr>
          <w:t>7</w:t>
        </w:r>
        <w:r>
          <w:rPr>
            <w:noProof/>
          </w:rPr>
          <w:fldChar w:fldCharType="end"/>
        </w:r>
      </w:p>
    </w:sdtContent>
  </w:sdt>
  <w:p w14:paraId="5EB538A2" w14:textId="77777777" w:rsidR="00E77EFF" w:rsidRDefault="00E77EF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0DF98" w14:textId="5C701C88" w:rsidR="00E77EFF" w:rsidRDefault="00E77E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D4C88" w14:textId="77777777" w:rsidR="00EE3395" w:rsidRDefault="00EE3395" w:rsidP="00BF44A2">
      <w:r>
        <w:separator/>
      </w:r>
    </w:p>
  </w:footnote>
  <w:footnote w:type="continuationSeparator" w:id="0">
    <w:p w14:paraId="62FCCC6E" w14:textId="77777777" w:rsidR="00EE3395" w:rsidRPr="00BF44A2" w:rsidRDefault="00EE3395" w:rsidP="00BF44A2">
      <w:r>
        <w:separator/>
      </w:r>
    </w:p>
  </w:footnote>
  <w:footnote w:type="continuationNotice" w:id="1">
    <w:p w14:paraId="6080A083" w14:textId="77777777" w:rsidR="00EE3395" w:rsidRDefault="00EE3395">
      <w:r>
        <w:t>(continued…)</w:t>
      </w:r>
    </w:p>
  </w:footnote>
  <w:footnote w:id="2">
    <w:p w14:paraId="7F60C97A" w14:textId="71214FA0" w:rsidR="00E77EFF" w:rsidRPr="00FA7C66" w:rsidRDefault="00E77EFF">
      <w:pPr>
        <w:pStyle w:val="FootnoteText"/>
      </w:pPr>
      <w:r>
        <w:rPr>
          <w:rStyle w:val="FootnoteReference"/>
        </w:rPr>
        <w:footnoteRef/>
      </w:r>
      <w:r>
        <w:t xml:space="preserve"> Parties Asked to Refresh the Record </w:t>
      </w:r>
      <w:r w:rsidR="00C048BF">
        <w:t>on Intercarrier Compensation Reform Related to the Network Edge, Tandem Switching and Transport, and Transit, WC Docket No. 10-90</w:t>
      </w:r>
      <w:r>
        <w:t xml:space="preserve">; CC Docket No. 01-92, </w:t>
      </w:r>
      <w:r>
        <w:rPr>
          <w:i/>
        </w:rPr>
        <w:t>Public Notice</w:t>
      </w:r>
      <w:r w:rsidR="00C048BF">
        <w:t>, DA 17-863 (rel. Sept. 8</w:t>
      </w:r>
      <w:r>
        <w:t>, 2017)</w:t>
      </w:r>
      <w:r w:rsidR="00C048BF">
        <w:t xml:space="preserve">; </w:t>
      </w:r>
      <w:r w:rsidR="00C048BF">
        <w:rPr>
          <w:i/>
        </w:rPr>
        <w:t>see also</w:t>
      </w:r>
      <w:r w:rsidR="00C048BF">
        <w:t xml:space="preserve"> Wireline Competition Bureau Announces the Comment Cycle for Refreshing the Record on Intercarrier Compensation Reform Related to the Network Edge, Tandem Switching and Transport, and Transit, WC Docket No. 10-90; CC Docket No. 01-92, </w:t>
      </w:r>
      <w:r w:rsidR="00C048BF">
        <w:rPr>
          <w:i/>
        </w:rPr>
        <w:t>Public Notice</w:t>
      </w:r>
      <w:r w:rsidR="00C048BF">
        <w:t>, DA 17-863 (rel. Sept. 26, 2017)</w:t>
      </w:r>
      <w:r>
        <w:t>.</w:t>
      </w:r>
    </w:p>
  </w:footnote>
  <w:footnote w:id="3">
    <w:p w14:paraId="12B3CDF9" w14:textId="77777777" w:rsidR="00155DCE" w:rsidRPr="006C1D64" w:rsidRDefault="00155DCE" w:rsidP="00155DCE">
      <w:pPr>
        <w:pStyle w:val="FootnoteText"/>
      </w:pPr>
      <w:r>
        <w:rPr>
          <w:rStyle w:val="FootnoteReference"/>
        </w:rPr>
        <w:footnoteRef/>
      </w:r>
      <w:r>
        <w:t xml:space="preserve"> </w:t>
      </w:r>
      <w:r>
        <w:rPr>
          <w:i/>
        </w:rPr>
        <w:t>In re Connect America Fund, et al.</w:t>
      </w:r>
      <w:r>
        <w:t>, Report and Order and Further Notice of Proposed Rulemaking, FCC 11-161, 26 FCC Rcd. 17663, ¶ 649 (2011) (hereinafter “</w:t>
      </w:r>
      <w:r>
        <w:rPr>
          <w:i/>
        </w:rPr>
        <w:t>2011 ICC Transformation NPRM</w:t>
      </w:r>
      <w:r>
        <w:t>”).</w:t>
      </w:r>
    </w:p>
  </w:footnote>
  <w:footnote w:id="4">
    <w:p w14:paraId="16F18E52" w14:textId="77777777" w:rsidR="00155DCE" w:rsidRPr="00290922" w:rsidRDefault="00155DCE" w:rsidP="00155DCE">
      <w:pPr>
        <w:pStyle w:val="FootnoteText"/>
      </w:pPr>
      <w:r>
        <w:rPr>
          <w:rStyle w:val="FootnoteReference"/>
        </w:rPr>
        <w:footnoteRef/>
      </w:r>
      <w:r>
        <w:t xml:space="preserve"> </w:t>
      </w:r>
      <w:r>
        <w:rPr>
          <w:i/>
        </w:rPr>
        <w:t xml:space="preserve">Id. </w:t>
      </w:r>
      <w:r>
        <w:t>¶ 663.</w:t>
      </w:r>
    </w:p>
  </w:footnote>
  <w:footnote w:id="5">
    <w:p w14:paraId="275CBE18" w14:textId="1E80629F" w:rsidR="007A20EA" w:rsidRDefault="007A20EA">
      <w:pPr>
        <w:pStyle w:val="FootnoteText"/>
      </w:pPr>
      <w:r>
        <w:rPr>
          <w:rStyle w:val="FootnoteReference"/>
        </w:rPr>
        <w:footnoteRef/>
      </w:r>
      <w:r>
        <w:t xml:space="preserve"> Comments of AT&amp;T Services Inc. to Refresh the Record, WC Docket No. 10-90; CC Docket No. 01-92, at 3 (Oct. 26, 2017) (hereinafter “AT&amp;T Comments”); </w:t>
      </w:r>
      <w:r>
        <w:rPr>
          <w:i/>
        </w:rPr>
        <w:t>see also</w:t>
      </w:r>
      <w:r>
        <w:t xml:space="preserve"> Comments of Verizon</w:t>
      </w:r>
      <w:r w:rsidR="00DC0B2E">
        <w:t xml:space="preserve">, WC Docket No. 10-90; CC Docket No. 01-92, </w:t>
      </w:r>
      <w:r>
        <w:t>at 4</w:t>
      </w:r>
      <w:r w:rsidR="00DC0B2E">
        <w:t xml:space="preserve"> (Oct. 26, 2017) </w:t>
      </w:r>
      <w:r w:rsidR="00F24492">
        <w:t xml:space="preserve">(hereinafter “Verizon Comments”) </w:t>
      </w:r>
      <w:r w:rsidR="00DC0B2E">
        <w:t xml:space="preserve">(“High transport charges continue to sustain ‘regulatory arbitrage such as access stimulation’ despite the </w:t>
      </w:r>
      <w:r w:rsidR="00DC0B2E">
        <w:rPr>
          <w:i/>
        </w:rPr>
        <w:t>Transformation Order</w:t>
      </w:r>
      <w:r w:rsidR="00DC0B2E">
        <w:t>’s attempt to curtail traffic pum</w:t>
      </w:r>
      <w:r w:rsidR="00827B0C">
        <w:t>ping.  In addition, ‘mileage pum</w:t>
      </w:r>
      <w:r w:rsidR="00DC0B2E">
        <w:t>ping’</w:t>
      </w:r>
      <w:r w:rsidR="00DC0B2E">
        <w:rPr>
          <w:rFonts w:cstheme="minorHAnsi"/>
        </w:rPr>
        <w:t>—</w:t>
      </w:r>
      <w:r w:rsidR="00DC0B2E">
        <w:t>which occurs then ‘service providers designate distant points of interconnection to inflate the mileage used to compute the transport charges’</w:t>
      </w:r>
      <w:r w:rsidR="00DC0B2E">
        <w:rPr>
          <w:rFonts w:cstheme="minorHAnsi"/>
        </w:rPr>
        <w:t>—</w:t>
      </w:r>
      <w:r w:rsidR="00DC0B2E">
        <w:t>remains a widespread and growing practice</w:t>
      </w:r>
      <w:r>
        <w:t>.</w:t>
      </w:r>
      <w:r w:rsidR="00DC0B2E">
        <w:t>”) (citations omitted).</w:t>
      </w:r>
    </w:p>
  </w:footnote>
  <w:footnote w:id="6">
    <w:p w14:paraId="2CE409AE" w14:textId="48B8967B" w:rsidR="00D50BD9" w:rsidRDefault="00D50BD9">
      <w:pPr>
        <w:pStyle w:val="FootnoteText"/>
      </w:pPr>
      <w:r>
        <w:rPr>
          <w:rStyle w:val="FootnoteReference"/>
        </w:rPr>
        <w:footnoteRef/>
      </w:r>
      <w:r>
        <w:t xml:space="preserve"> AT&amp;T Comments at 13.</w:t>
      </w:r>
    </w:p>
  </w:footnote>
  <w:footnote w:id="7">
    <w:p w14:paraId="64309DD2" w14:textId="03C6AFAE" w:rsidR="00613213" w:rsidRDefault="00613213">
      <w:pPr>
        <w:pStyle w:val="FootnoteText"/>
      </w:pPr>
      <w:r>
        <w:rPr>
          <w:rStyle w:val="FootnoteReference"/>
        </w:rPr>
        <w:footnoteRef/>
      </w:r>
      <w:r>
        <w:t xml:space="preserve"> AT&amp;T Comments at 13 n.15.</w:t>
      </w:r>
    </w:p>
  </w:footnote>
  <w:footnote w:id="8">
    <w:p w14:paraId="470B0857" w14:textId="14065D33" w:rsidR="00A458FA" w:rsidRDefault="00A458FA">
      <w:pPr>
        <w:pStyle w:val="FootnoteText"/>
      </w:pPr>
      <w:r>
        <w:rPr>
          <w:rStyle w:val="FootnoteReference"/>
        </w:rPr>
        <w:footnoteRef/>
      </w:r>
      <w:r>
        <w:t xml:space="preserve"> ITTA Comments at 8.</w:t>
      </w:r>
    </w:p>
  </w:footnote>
  <w:footnote w:id="9">
    <w:p w14:paraId="0CD810AA" w14:textId="6149E6BA" w:rsidR="00613213" w:rsidRPr="00DB75FF" w:rsidRDefault="00613213">
      <w:pPr>
        <w:pStyle w:val="FootnoteText"/>
      </w:pPr>
      <w:r>
        <w:rPr>
          <w:rStyle w:val="FootnoteReference"/>
        </w:rPr>
        <w:footnoteRef/>
      </w:r>
      <w:r>
        <w:t xml:space="preserve"> </w:t>
      </w:r>
      <w:r w:rsidR="00DB75FF">
        <w:rPr>
          <w:i/>
        </w:rPr>
        <w:t>See, e.g.</w:t>
      </w:r>
      <w:r w:rsidR="00DB75FF">
        <w:t>, ITTA Comments at 7 (“In order to substantially curtail arbitrage, the Commission should clarify that a carrier’s duty under Section 251(a) is to interconnect directly where technically feasible.”); Carrier Coalition Comments at 7 (direct connection is “necessary to avoid arbitrage schemes”).</w:t>
      </w:r>
    </w:p>
  </w:footnote>
  <w:footnote w:id="10">
    <w:p w14:paraId="08551219" w14:textId="095159FE" w:rsidR="000C2EFB" w:rsidRPr="000C2EFB" w:rsidRDefault="000C2EFB">
      <w:pPr>
        <w:pStyle w:val="FootnoteText"/>
      </w:pPr>
      <w:r>
        <w:rPr>
          <w:rStyle w:val="FootnoteReference"/>
        </w:rPr>
        <w:footnoteRef/>
      </w:r>
      <w:r>
        <w:t xml:space="preserve"> </w:t>
      </w:r>
      <w:r>
        <w:rPr>
          <w:i/>
        </w:rPr>
        <w:t>2011 ICC Transformation NPRM</w:t>
      </w:r>
      <w:r>
        <w:t xml:space="preserve"> </w:t>
      </w:r>
      <w:r>
        <w:rPr>
          <w:rFonts w:cstheme="minorHAnsi"/>
        </w:rPr>
        <w:t>¶</w:t>
      </w:r>
      <w:r>
        <w:t> 737.</w:t>
      </w:r>
    </w:p>
  </w:footnote>
  <w:footnote w:id="11">
    <w:p w14:paraId="10BE7A66" w14:textId="2E1C590F" w:rsidR="00E77E88" w:rsidRPr="00E77E88" w:rsidRDefault="00E77E88">
      <w:pPr>
        <w:pStyle w:val="FootnoteText"/>
      </w:pPr>
      <w:r>
        <w:rPr>
          <w:rStyle w:val="FootnoteReference"/>
        </w:rPr>
        <w:footnoteRef/>
      </w:r>
      <w:r>
        <w:t xml:space="preserve"> </w:t>
      </w:r>
      <w:r>
        <w:rPr>
          <w:i/>
        </w:rPr>
        <w:t>See</w:t>
      </w:r>
      <w:r>
        <w:t xml:space="preserve"> C</w:t>
      </w:r>
      <w:r w:rsidR="00D50BD9">
        <w:t>arrier Coalition Comments</w:t>
      </w:r>
      <w:r w:rsidR="00C31350">
        <w:t xml:space="preserve"> at 3, 23</w:t>
      </w:r>
      <w:r w:rsidR="00C31350">
        <w:rPr>
          <w:rFonts w:cstheme="minorHAnsi"/>
        </w:rPr>
        <w:t>–</w:t>
      </w:r>
      <w:r w:rsidR="00C31350">
        <w:t xml:space="preserve">24.  </w:t>
      </w:r>
    </w:p>
  </w:footnote>
  <w:footnote w:id="12">
    <w:p w14:paraId="06554575" w14:textId="60D40B52" w:rsidR="00C31350" w:rsidRDefault="00C31350">
      <w:pPr>
        <w:pStyle w:val="FootnoteText"/>
      </w:pPr>
      <w:r>
        <w:rPr>
          <w:rStyle w:val="FootnoteReference"/>
        </w:rPr>
        <w:footnoteRef/>
      </w:r>
      <w:r>
        <w:t xml:space="preserve"> C</w:t>
      </w:r>
      <w:r w:rsidR="00043FE9">
        <w:t>enturyLink Comments</w:t>
      </w:r>
      <w:r>
        <w:t xml:space="preserve"> at </w:t>
      </w:r>
      <w:r w:rsidR="006073A5">
        <w:t>5</w:t>
      </w:r>
      <w:r w:rsidR="006073A5">
        <w:rPr>
          <w:rFonts w:cstheme="minorHAnsi"/>
        </w:rPr>
        <w:t>–</w:t>
      </w:r>
      <w:r w:rsidR="006073A5">
        <w:t>6</w:t>
      </w:r>
      <w:r>
        <w:t>.</w:t>
      </w:r>
    </w:p>
  </w:footnote>
  <w:footnote w:id="13">
    <w:p w14:paraId="6328A56A" w14:textId="6389538A" w:rsidR="006073A5" w:rsidRDefault="006073A5">
      <w:pPr>
        <w:pStyle w:val="FootnoteText"/>
      </w:pPr>
      <w:r>
        <w:rPr>
          <w:rStyle w:val="FootnoteReference"/>
        </w:rPr>
        <w:footnoteRef/>
      </w:r>
      <w:r>
        <w:t xml:space="preserve"> </w:t>
      </w:r>
      <w:r w:rsidR="007A20EA">
        <w:t>AT&amp;T Comments at 17.</w:t>
      </w:r>
    </w:p>
  </w:footnote>
  <w:footnote w:id="14">
    <w:p w14:paraId="04673A7E" w14:textId="71E779A6" w:rsidR="007F5A80" w:rsidRPr="007F5A80" w:rsidRDefault="007F5A80">
      <w:pPr>
        <w:pStyle w:val="FootnoteText"/>
      </w:pPr>
      <w:r>
        <w:rPr>
          <w:rStyle w:val="FootnoteReference"/>
        </w:rPr>
        <w:footnoteRef/>
      </w:r>
      <w:r>
        <w:t xml:space="preserve"> AT&amp;T indicates that a single transport provider, INS, is responsible for more than 12 percent of AT&amp;T’s “</w:t>
      </w:r>
      <w:r>
        <w:rPr>
          <w:i/>
        </w:rPr>
        <w:t>total, nationwide</w:t>
      </w:r>
      <w:r>
        <w:t xml:space="preserve"> billed terminating switched access expense</w:t>
      </w:r>
      <w:r>
        <w:rPr>
          <w:rFonts w:cstheme="minorHAnsi"/>
        </w:rPr>
        <w:t>—</w:t>
      </w:r>
      <w:r>
        <w:t xml:space="preserve">even though AT&amp;T is billed by over 1,300 different LECs,” and that direct connection would effectively resolve the problem with respect to INS.  AT&amp;T Comments at 13 &amp; n.15.  </w:t>
      </w:r>
    </w:p>
  </w:footnote>
  <w:footnote w:id="15">
    <w:p w14:paraId="143A0522" w14:textId="5CC3C930" w:rsidR="006073A5" w:rsidRDefault="006073A5">
      <w:pPr>
        <w:pStyle w:val="FootnoteText"/>
      </w:pPr>
      <w:r>
        <w:rPr>
          <w:rStyle w:val="FootnoteReference"/>
        </w:rPr>
        <w:footnoteRef/>
      </w:r>
      <w:r>
        <w:t xml:space="preserve"> CenturyLink Comments at 3.</w:t>
      </w:r>
    </w:p>
  </w:footnote>
  <w:footnote w:id="16">
    <w:p w14:paraId="1BD1E00E" w14:textId="69E35990" w:rsidR="007D0D33" w:rsidRPr="007D0D33" w:rsidRDefault="007D0D33">
      <w:pPr>
        <w:pStyle w:val="FootnoteText"/>
      </w:pPr>
      <w:r>
        <w:rPr>
          <w:rStyle w:val="FootnoteReference"/>
        </w:rPr>
        <w:footnoteRef/>
      </w:r>
      <w:r>
        <w:t xml:space="preserve"> </w:t>
      </w:r>
      <w:r w:rsidR="00E83CE4">
        <w:t xml:space="preserve">CenturyLink Comments at 7; </w:t>
      </w:r>
      <w:r w:rsidR="00E83CE4">
        <w:rPr>
          <w:i/>
        </w:rPr>
        <w:t>s</w:t>
      </w:r>
      <w:r>
        <w:rPr>
          <w:i/>
        </w:rPr>
        <w:t>ee</w:t>
      </w:r>
      <w:r w:rsidR="00E83CE4">
        <w:rPr>
          <w:i/>
        </w:rPr>
        <w:t xml:space="preserve"> also</w:t>
      </w:r>
      <w:r>
        <w:t xml:space="preserve"> Carrier Coalition Comments at 5, 23</w:t>
      </w:r>
      <w:r>
        <w:rPr>
          <w:rFonts w:cstheme="minorHAnsi"/>
        </w:rPr>
        <w:t>–</w:t>
      </w:r>
      <w:r>
        <w:t>24.</w:t>
      </w:r>
    </w:p>
  </w:footnote>
  <w:footnote w:id="17">
    <w:p w14:paraId="78B34A1E" w14:textId="28863814" w:rsidR="00615225" w:rsidRDefault="00615225">
      <w:pPr>
        <w:pStyle w:val="FootnoteText"/>
      </w:pPr>
      <w:r>
        <w:rPr>
          <w:rStyle w:val="FootnoteReference"/>
        </w:rPr>
        <w:footnoteRef/>
      </w:r>
      <w:r>
        <w:t xml:space="preserve"> ITTA Comments at 15.</w:t>
      </w:r>
    </w:p>
  </w:footnote>
  <w:footnote w:id="18">
    <w:p w14:paraId="4785361C" w14:textId="2FCC730F" w:rsidR="008D3805" w:rsidRDefault="008D3805">
      <w:pPr>
        <w:pStyle w:val="FootnoteText"/>
      </w:pPr>
      <w:r>
        <w:rPr>
          <w:rStyle w:val="FootnoteReference"/>
        </w:rPr>
        <w:footnoteRef/>
      </w:r>
      <w:r>
        <w:t xml:space="preserve"> AT&amp;T Comments at 27.</w:t>
      </w:r>
    </w:p>
  </w:footnote>
  <w:footnote w:id="19">
    <w:p w14:paraId="756D2C09" w14:textId="3E6FD902" w:rsidR="008D3805" w:rsidRDefault="008D3805">
      <w:pPr>
        <w:pStyle w:val="FootnoteText"/>
      </w:pPr>
      <w:r>
        <w:rPr>
          <w:rStyle w:val="FootnoteReference"/>
        </w:rPr>
        <w:footnoteRef/>
      </w:r>
      <w:r>
        <w:t xml:space="preserve"> Comments of Inteliquent, Inc. WC Docket Nos. 10-90, 07-135; CC Docket No. 01-92, at 2 (July 31, 2017)</w:t>
      </w:r>
      <w:r w:rsidR="00C43E0F">
        <w:t xml:space="preserve"> (hereinafter “Inteliquent 8YY Comments”)</w:t>
      </w:r>
      <w:r>
        <w:t>.</w:t>
      </w:r>
    </w:p>
  </w:footnote>
  <w:footnote w:id="20">
    <w:p w14:paraId="084EE3E2" w14:textId="49BE02CD" w:rsidR="00C43E0F" w:rsidRPr="00B016FA" w:rsidRDefault="00C43E0F">
      <w:pPr>
        <w:pStyle w:val="FootnoteText"/>
      </w:pPr>
      <w:r>
        <w:rPr>
          <w:rStyle w:val="FootnoteReference"/>
        </w:rPr>
        <w:footnoteRef/>
      </w:r>
      <w:r>
        <w:t xml:space="preserve"> </w:t>
      </w:r>
      <w:r>
        <w:rPr>
          <w:i/>
        </w:rPr>
        <w:t xml:space="preserve">See </w:t>
      </w:r>
      <w:r>
        <w:t>Letter from Michael R. Romano, et al. to Marlene H. Dortch</w:t>
      </w:r>
      <w:r w:rsidR="00B016FA">
        <w:t xml:space="preserve">, </w:t>
      </w:r>
      <w:r w:rsidR="00B016FA" w:rsidRPr="00B016FA">
        <w:rPr>
          <w:i/>
        </w:rPr>
        <w:t xml:space="preserve">Developing a Unified Intercarrier Compensation Regime, </w:t>
      </w:r>
      <w:r w:rsidR="00B016FA" w:rsidRPr="00B016FA">
        <w:t>CC Docket No. 01-92</w:t>
      </w:r>
      <w:r w:rsidR="00B016FA" w:rsidRPr="00B016FA">
        <w:rPr>
          <w:i/>
        </w:rPr>
        <w:t>; Petition of AT&amp;T Services, Inc. for Forbearance Under 47 U.S.C. § 160(c) from Enforcement of Certain Rules for Switched Access Services and Toll Free Database Dip Charges,</w:t>
      </w:r>
      <w:r w:rsidR="00B016FA" w:rsidRPr="00B016FA">
        <w:t xml:space="preserve"> WC Docket No. 16-363 </w:t>
      </w:r>
      <w:r w:rsidR="00B016FA">
        <w:t>(Nov. 1, 2017).</w:t>
      </w:r>
    </w:p>
  </w:footnote>
  <w:footnote w:id="21">
    <w:p w14:paraId="21633329" w14:textId="7AB8F720" w:rsidR="000E22C9" w:rsidRPr="000E22C9" w:rsidRDefault="000E22C9">
      <w:pPr>
        <w:pStyle w:val="FootnoteText"/>
        <w:rPr>
          <w:i/>
        </w:rPr>
      </w:pPr>
      <w:r>
        <w:rPr>
          <w:rStyle w:val="FootnoteReference"/>
        </w:rPr>
        <w:footnoteRef/>
      </w:r>
      <w:r>
        <w:t xml:space="preserve"> </w:t>
      </w:r>
      <w:r>
        <w:rPr>
          <w:i/>
        </w:rPr>
        <w:t>Id.</w:t>
      </w:r>
    </w:p>
  </w:footnote>
  <w:footnote w:id="22">
    <w:p w14:paraId="5AA0E43D" w14:textId="33533CE2" w:rsidR="000E22C9" w:rsidRPr="000E22C9" w:rsidRDefault="000E22C9">
      <w:pPr>
        <w:pStyle w:val="FootnoteText"/>
      </w:pPr>
      <w:r>
        <w:rPr>
          <w:rStyle w:val="FootnoteReference"/>
        </w:rPr>
        <w:footnoteRef/>
      </w:r>
      <w:r>
        <w:t xml:space="preserve"> </w:t>
      </w:r>
      <w:r>
        <w:rPr>
          <w:i/>
        </w:rPr>
        <w:t>Id.</w:t>
      </w:r>
      <w:r>
        <w:t xml:space="preserve">; </w:t>
      </w:r>
      <w:r>
        <w:rPr>
          <w:i/>
        </w:rPr>
        <w:t xml:space="preserve">see also </w:t>
      </w:r>
      <w:r>
        <w:t>Inteliquent 8YY Comments at 4</w:t>
      </w:r>
      <w:r>
        <w:rPr>
          <w:rFonts w:cstheme="minorHAnsi"/>
        </w:rPr>
        <w:t>–</w:t>
      </w:r>
      <w:r>
        <w:t>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78BF6" w14:textId="77777777" w:rsidR="008654A6" w:rsidRDefault="008654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30598" w14:textId="77777777" w:rsidR="008654A6" w:rsidRDefault="008654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8871B" w14:textId="4F9E9939" w:rsidR="00DE2494" w:rsidRPr="00BD2F84" w:rsidRDefault="00DE2494" w:rsidP="00BD2F84">
    <w:pPr>
      <w:pStyle w:val="Header"/>
      <w:jc w:val="right"/>
      <w:rPr>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19882E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96A111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A1C306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FD0956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76E1D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B6241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F22A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EECDC4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B8C14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C039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2A653B"/>
    <w:multiLevelType w:val="hybridMultilevel"/>
    <w:tmpl w:val="5FFCCEC0"/>
    <w:lvl w:ilvl="0" w:tplc="F476E19A">
      <w:start w:val="1"/>
      <w:numFmt w:val="decimal"/>
      <w:pStyle w:val="NumberedParagraphSingle"/>
      <w:lvlText w:val="%1."/>
      <w:lvlJc w:val="left"/>
      <w:pPr>
        <w:ind w:left="0" w:firstLine="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55679B"/>
    <w:multiLevelType w:val="multilevel"/>
    <w:tmpl w:val="E7541A2A"/>
    <w:numStyleLink w:val="ListNumbers"/>
  </w:abstractNum>
  <w:abstractNum w:abstractNumId="12" w15:restartNumberingAfterBreak="0">
    <w:nsid w:val="0A4811F7"/>
    <w:multiLevelType w:val="hybridMultilevel"/>
    <w:tmpl w:val="DF205194"/>
    <w:lvl w:ilvl="0" w:tplc="9C085498">
      <w:start w:val="1"/>
      <w:numFmt w:val="upperLetter"/>
      <w:pStyle w:val="LetteredParagraphSingle"/>
      <w:lvlText w:val="%1."/>
      <w:lvlJc w:val="left"/>
      <w:pPr>
        <w:ind w:left="0" w:firstLine="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960B76"/>
    <w:multiLevelType w:val="hybridMultilevel"/>
    <w:tmpl w:val="DCD2F0EA"/>
    <w:lvl w:ilvl="0" w:tplc="55062CD8">
      <w:start w:val="1"/>
      <w:numFmt w:val="upperLetter"/>
      <w:pStyle w:val="LetteredParagraphDouble"/>
      <w:lvlText w:val="%1."/>
      <w:lvlJc w:val="left"/>
      <w:pPr>
        <w:ind w:left="0" w:firstLine="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FF0437"/>
    <w:multiLevelType w:val="multilevel"/>
    <w:tmpl w:val="E7541A2A"/>
    <w:styleLink w:val="ListNumbers"/>
    <w:lvl w:ilvl="0">
      <w:start w:val="1"/>
      <w:numFmt w:val="decimal"/>
      <w:pStyle w:val="ListNumber"/>
      <w:lvlText w:val="%1."/>
      <w:lvlJc w:val="left"/>
      <w:pPr>
        <w:tabs>
          <w:tab w:val="num" w:pos="360"/>
        </w:tabs>
        <w:ind w:left="360" w:hanging="360"/>
      </w:pPr>
      <w:rPr>
        <w:rFonts w:hint="default"/>
      </w:rPr>
    </w:lvl>
    <w:lvl w:ilvl="1">
      <w:start w:val="1"/>
      <w:numFmt w:val="decimal"/>
      <w:pStyle w:val="ListNumber2"/>
      <w:lvlText w:val="%2."/>
      <w:lvlJc w:val="left"/>
      <w:pPr>
        <w:tabs>
          <w:tab w:val="num" w:pos="720"/>
        </w:tabs>
        <w:ind w:left="720" w:hanging="360"/>
      </w:pPr>
      <w:rPr>
        <w:rFonts w:hint="default"/>
      </w:rPr>
    </w:lvl>
    <w:lvl w:ilvl="2">
      <w:start w:val="1"/>
      <w:numFmt w:val="decimal"/>
      <w:pStyle w:val="ListNumber3"/>
      <w:lvlText w:val="%3."/>
      <w:lvlJc w:val="left"/>
      <w:pPr>
        <w:tabs>
          <w:tab w:val="num" w:pos="1080"/>
        </w:tabs>
        <w:ind w:left="1080" w:hanging="360"/>
      </w:pPr>
      <w:rPr>
        <w:rFonts w:hint="default"/>
      </w:rPr>
    </w:lvl>
    <w:lvl w:ilvl="3">
      <w:start w:val="1"/>
      <w:numFmt w:val="decimal"/>
      <w:pStyle w:val="ListNumber4"/>
      <w:lvlText w:val="%4."/>
      <w:lvlJc w:val="left"/>
      <w:pPr>
        <w:tabs>
          <w:tab w:val="num" w:pos="1440"/>
        </w:tabs>
        <w:ind w:left="1440" w:hanging="360"/>
      </w:pPr>
      <w:rPr>
        <w:rFonts w:hint="default"/>
      </w:rPr>
    </w:lvl>
    <w:lvl w:ilvl="4">
      <w:start w:val="1"/>
      <w:numFmt w:val="decimal"/>
      <w:pStyle w:val="ListNumber5"/>
      <w:lvlText w:val="%5."/>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2E0F3282"/>
    <w:multiLevelType w:val="multilevel"/>
    <w:tmpl w:val="8D86FA02"/>
    <w:styleLink w:val="CovingtonHeadings"/>
    <w:lvl w:ilvl="0">
      <w:start w:val="1"/>
      <w:numFmt w:val="upperRoman"/>
      <w:pStyle w:val="Heading1"/>
      <w:lvlText w:val="%1."/>
      <w:lvlJc w:val="left"/>
      <w:pPr>
        <w:tabs>
          <w:tab w:val="num" w:pos="720"/>
        </w:tabs>
        <w:ind w:left="720" w:hanging="720"/>
      </w:pPr>
      <w:rPr>
        <w:rFonts w:asciiTheme="majorHAnsi" w:hAnsiTheme="majorHAnsi" w:hint="default"/>
        <w:sz w:val="24"/>
      </w:rPr>
    </w:lvl>
    <w:lvl w:ilvl="1">
      <w:start w:val="1"/>
      <w:numFmt w:val="upperLetter"/>
      <w:pStyle w:val="Heading2"/>
      <w:lvlText w:val="%2."/>
      <w:lvlJc w:val="left"/>
      <w:pPr>
        <w:tabs>
          <w:tab w:val="num" w:pos="1440"/>
        </w:tabs>
        <w:ind w:left="1440" w:hanging="720"/>
      </w:pPr>
      <w:rPr>
        <w:rFonts w:hint="default"/>
      </w:rPr>
    </w:lvl>
    <w:lvl w:ilvl="2">
      <w:start w:val="1"/>
      <w:numFmt w:val="decimal"/>
      <w:pStyle w:val="Heading3"/>
      <w:lvlText w:val="%3."/>
      <w:lvlJc w:val="left"/>
      <w:pPr>
        <w:tabs>
          <w:tab w:val="num" w:pos="2160"/>
        </w:tabs>
        <w:ind w:left="2160" w:hanging="720"/>
      </w:pPr>
      <w:rPr>
        <w:rFonts w:hint="default"/>
      </w:rPr>
    </w:lvl>
    <w:lvl w:ilvl="3">
      <w:start w:val="1"/>
      <w:numFmt w:val="lowerLetter"/>
      <w:pStyle w:val="Heading4"/>
      <w:lvlText w:val="%4)"/>
      <w:lvlJc w:val="left"/>
      <w:pPr>
        <w:tabs>
          <w:tab w:val="num" w:pos="2880"/>
        </w:tabs>
        <w:ind w:left="2880" w:hanging="720"/>
      </w:pPr>
      <w:rPr>
        <w:rFonts w:hint="default"/>
      </w:rPr>
    </w:lvl>
    <w:lvl w:ilvl="4">
      <w:start w:val="1"/>
      <w:numFmt w:val="decimal"/>
      <w:pStyle w:val="Heading5"/>
      <w:lvlText w:val="(%5)"/>
      <w:lvlJc w:val="left"/>
      <w:pPr>
        <w:tabs>
          <w:tab w:val="num" w:pos="3600"/>
        </w:tabs>
        <w:ind w:left="3600" w:hanging="720"/>
      </w:pPr>
      <w:rPr>
        <w:rFonts w:hint="default"/>
      </w:rPr>
    </w:lvl>
    <w:lvl w:ilvl="5">
      <w:start w:val="1"/>
      <w:numFmt w:val="lowerLetter"/>
      <w:pStyle w:val="Heading6"/>
      <w:lvlText w:val="(%6)"/>
      <w:lvlJc w:val="left"/>
      <w:pPr>
        <w:tabs>
          <w:tab w:val="num" w:pos="4320"/>
        </w:tabs>
        <w:ind w:left="4320" w:hanging="720"/>
      </w:pPr>
      <w:rPr>
        <w:rFonts w:hint="default"/>
      </w:rPr>
    </w:lvl>
    <w:lvl w:ilvl="6">
      <w:start w:val="1"/>
      <w:numFmt w:val="lowerRoman"/>
      <w:pStyle w:val="Heading7"/>
      <w:lvlText w:val="(%7)"/>
      <w:lvlJc w:val="left"/>
      <w:pPr>
        <w:tabs>
          <w:tab w:val="num" w:pos="5040"/>
        </w:tabs>
        <w:ind w:left="5040" w:hanging="720"/>
      </w:pPr>
      <w:rPr>
        <w:rFonts w:hint="default"/>
      </w:rPr>
    </w:lvl>
    <w:lvl w:ilvl="7">
      <w:start w:val="1"/>
      <w:numFmt w:val="lowerLetter"/>
      <w:pStyle w:val="Heading8"/>
      <w:lvlText w:val="(%8)"/>
      <w:lvlJc w:val="left"/>
      <w:pPr>
        <w:tabs>
          <w:tab w:val="num" w:pos="5760"/>
        </w:tabs>
        <w:ind w:left="5760" w:hanging="720"/>
      </w:pPr>
      <w:rPr>
        <w:rFonts w:hint="default"/>
      </w:rPr>
    </w:lvl>
    <w:lvl w:ilvl="8">
      <w:start w:val="1"/>
      <w:numFmt w:val="lowerRoman"/>
      <w:pStyle w:val="Heading9"/>
      <w:lvlText w:val="(%9)"/>
      <w:lvlJc w:val="left"/>
      <w:pPr>
        <w:tabs>
          <w:tab w:val="num" w:pos="6480"/>
        </w:tabs>
        <w:ind w:left="6480" w:hanging="720"/>
      </w:pPr>
      <w:rPr>
        <w:rFonts w:hint="default"/>
      </w:rPr>
    </w:lvl>
  </w:abstractNum>
  <w:abstractNum w:abstractNumId="16" w15:restartNumberingAfterBreak="0">
    <w:nsid w:val="37267B4C"/>
    <w:multiLevelType w:val="hybridMultilevel"/>
    <w:tmpl w:val="585C2AAC"/>
    <w:lvl w:ilvl="0" w:tplc="FC82C2EC">
      <w:start w:val="1"/>
      <w:numFmt w:val="decimal"/>
      <w:pStyle w:val="NumberedParagraphDouble"/>
      <w:lvlText w:val="%1."/>
      <w:lvlJc w:val="left"/>
      <w:pPr>
        <w:ind w:left="0" w:firstLine="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0352A"/>
    <w:multiLevelType w:val="multilevel"/>
    <w:tmpl w:val="1C28AD60"/>
    <w:styleLink w:val="ListBullets"/>
    <w:lvl w:ilvl="0">
      <w:start w:val="1"/>
      <w:numFmt w:val="bullet"/>
      <w:pStyle w:val="ListBullet"/>
      <w:lvlText w:val=""/>
      <w:lvlJc w:val="left"/>
      <w:pPr>
        <w:tabs>
          <w:tab w:val="num" w:pos="360"/>
        </w:tabs>
        <w:ind w:left="360" w:hanging="360"/>
      </w:pPr>
      <w:rPr>
        <w:rFonts w:ascii="Symbol" w:hAnsi="Symbol" w:hint="default"/>
        <w:color w:val="auto"/>
      </w:rPr>
    </w:lvl>
    <w:lvl w:ilvl="1">
      <w:start w:val="1"/>
      <w:numFmt w:val="bullet"/>
      <w:pStyle w:val="ListBullet2"/>
      <w:lvlText w:val=""/>
      <w:lvlJc w:val="left"/>
      <w:pPr>
        <w:tabs>
          <w:tab w:val="num" w:pos="720"/>
        </w:tabs>
        <w:ind w:left="720" w:hanging="360"/>
      </w:pPr>
      <w:rPr>
        <w:rFonts w:ascii="Symbol" w:hAnsi="Symbol" w:hint="default"/>
        <w:color w:val="auto"/>
      </w:rPr>
    </w:lvl>
    <w:lvl w:ilvl="2">
      <w:start w:val="1"/>
      <w:numFmt w:val="bullet"/>
      <w:pStyle w:val="ListBullet3"/>
      <w:lvlText w:val=""/>
      <w:lvlJc w:val="left"/>
      <w:pPr>
        <w:tabs>
          <w:tab w:val="num" w:pos="1080"/>
        </w:tabs>
        <w:ind w:left="1080" w:hanging="360"/>
      </w:pPr>
      <w:rPr>
        <w:rFonts w:ascii="Symbol" w:hAnsi="Symbol" w:hint="default"/>
        <w:color w:val="auto"/>
      </w:rPr>
    </w:lvl>
    <w:lvl w:ilvl="3">
      <w:start w:val="1"/>
      <w:numFmt w:val="bullet"/>
      <w:pStyle w:val="ListBullet4"/>
      <w:lvlText w:val=""/>
      <w:lvlJc w:val="left"/>
      <w:pPr>
        <w:tabs>
          <w:tab w:val="num" w:pos="1440"/>
        </w:tabs>
        <w:ind w:left="1440" w:hanging="360"/>
      </w:pPr>
      <w:rPr>
        <w:rFonts w:ascii="Symbol" w:hAnsi="Symbol" w:hint="default"/>
        <w:color w:val="auto"/>
      </w:rPr>
    </w:lvl>
    <w:lvl w:ilvl="4">
      <w:start w:val="1"/>
      <w:numFmt w:val="bullet"/>
      <w:pStyle w:val="ListBullet5"/>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8" w15:restartNumberingAfterBreak="0">
    <w:nsid w:val="7E531461"/>
    <w:multiLevelType w:val="multilevel"/>
    <w:tmpl w:val="1C28AD60"/>
    <w:numStyleLink w:val="ListBullets"/>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5"/>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lvlOverride w:ilvl="0">
      <w:lvl w:ilvl="0">
        <w:start w:val="1"/>
        <w:numFmt w:val="upperRoman"/>
        <w:pStyle w:val="Heading1"/>
        <w:lvlText w:val="%1."/>
        <w:lvlJc w:val="left"/>
        <w:pPr>
          <w:tabs>
            <w:tab w:val="num" w:pos="720"/>
          </w:tabs>
          <w:ind w:left="720" w:hanging="720"/>
        </w:pPr>
        <w:rPr>
          <w:rFonts w:asciiTheme="majorHAnsi" w:hAnsiTheme="majorHAnsi" w:hint="default"/>
          <w:b/>
          <w:sz w:val="24"/>
        </w:rPr>
      </w:lvl>
    </w:lvlOverride>
  </w:num>
  <w:num w:numId="22">
    <w:abstractNumId w:val="17"/>
  </w:num>
  <w:num w:numId="23">
    <w:abstractNumId w:val="14"/>
  </w:num>
  <w:num w:numId="24">
    <w:abstractNumId w:val="13"/>
  </w:num>
  <w:num w:numId="25">
    <w:abstractNumId w:val="12"/>
  </w:num>
  <w:num w:numId="26">
    <w:abstractNumId w:val="16"/>
  </w:num>
  <w:num w:numId="27">
    <w:abstractNumId w:val="10"/>
  </w:num>
  <w:num w:numId="28">
    <w:abstractNumId w:val="18"/>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lientMatter" w:val="False"/>
    <w:docVar w:name="Database" w:val="True"/>
    <w:docVar w:name="Date" w:val="False"/>
    <w:docVar w:name="DocName" w:val="False"/>
    <w:docVar w:name="DocNumber" w:val="True"/>
    <w:docVar w:name="Time" w:val="False"/>
    <w:docVar w:name="Typist" w:val="False"/>
    <w:docVar w:name="Version" w:val="True"/>
  </w:docVars>
  <w:rsids>
    <w:rsidRoot w:val="00E268DF"/>
    <w:rsid w:val="000113CC"/>
    <w:rsid w:val="00011A1D"/>
    <w:rsid w:val="00017A02"/>
    <w:rsid w:val="000210F3"/>
    <w:rsid w:val="00027DB2"/>
    <w:rsid w:val="00041281"/>
    <w:rsid w:val="00043FE9"/>
    <w:rsid w:val="00051685"/>
    <w:rsid w:val="00054C88"/>
    <w:rsid w:val="000566EB"/>
    <w:rsid w:val="000660B3"/>
    <w:rsid w:val="00080E8F"/>
    <w:rsid w:val="0009432A"/>
    <w:rsid w:val="000A3C03"/>
    <w:rsid w:val="000B7BBB"/>
    <w:rsid w:val="000C2EFB"/>
    <w:rsid w:val="000C4D16"/>
    <w:rsid w:val="000D18A9"/>
    <w:rsid w:val="000E1B8A"/>
    <w:rsid w:val="000E22C9"/>
    <w:rsid w:val="000E356B"/>
    <w:rsid w:val="000E7228"/>
    <w:rsid w:val="000E72A7"/>
    <w:rsid w:val="000F04FB"/>
    <w:rsid w:val="000F469E"/>
    <w:rsid w:val="001013DB"/>
    <w:rsid w:val="00104E15"/>
    <w:rsid w:val="00112DD4"/>
    <w:rsid w:val="00117628"/>
    <w:rsid w:val="00117BC7"/>
    <w:rsid w:val="00117FA3"/>
    <w:rsid w:val="00121265"/>
    <w:rsid w:val="00125A52"/>
    <w:rsid w:val="00127552"/>
    <w:rsid w:val="00143390"/>
    <w:rsid w:val="00154944"/>
    <w:rsid w:val="00155DCE"/>
    <w:rsid w:val="00162E09"/>
    <w:rsid w:val="001639EF"/>
    <w:rsid w:val="001654DC"/>
    <w:rsid w:val="00166B1D"/>
    <w:rsid w:val="0017255A"/>
    <w:rsid w:val="00182ED3"/>
    <w:rsid w:val="00196D29"/>
    <w:rsid w:val="0019781E"/>
    <w:rsid w:val="001A12A3"/>
    <w:rsid w:val="001B19FE"/>
    <w:rsid w:val="001B364F"/>
    <w:rsid w:val="001B56AF"/>
    <w:rsid w:val="001B736A"/>
    <w:rsid w:val="001C5B73"/>
    <w:rsid w:val="001C5CDF"/>
    <w:rsid w:val="001C6D66"/>
    <w:rsid w:val="001D196C"/>
    <w:rsid w:val="001D7271"/>
    <w:rsid w:val="001E0028"/>
    <w:rsid w:val="001E684E"/>
    <w:rsid w:val="001F2895"/>
    <w:rsid w:val="001F3F40"/>
    <w:rsid w:val="001F51BC"/>
    <w:rsid w:val="00233E7F"/>
    <w:rsid w:val="00235AB2"/>
    <w:rsid w:val="00245A1C"/>
    <w:rsid w:val="0024708A"/>
    <w:rsid w:val="00253EF4"/>
    <w:rsid w:val="00254C23"/>
    <w:rsid w:val="00255CD0"/>
    <w:rsid w:val="00257F72"/>
    <w:rsid w:val="00262027"/>
    <w:rsid w:val="00263D7A"/>
    <w:rsid w:val="0026554E"/>
    <w:rsid w:val="0026752C"/>
    <w:rsid w:val="002A4F0E"/>
    <w:rsid w:val="002B1147"/>
    <w:rsid w:val="002B1609"/>
    <w:rsid w:val="002B5742"/>
    <w:rsid w:val="002C33E1"/>
    <w:rsid w:val="002C55BE"/>
    <w:rsid w:val="002C6524"/>
    <w:rsid w:val="002E7A1A"/>
    <w:rsid w:val="002F3723"/>
    <w:rsid w:val="002F7540"/>
    <w:rsid w:val="00302CC4"/>
    <w:rsid w:val="00307E9A"/>
    <w:rsid w:val="0031201F"/>
    <w:rsid w:val="00317C01"/>
    <w:rsid w:val="00327CBD"/>
    <w:rsid w:val="003309A5"/>
    <w:rsid w:val="00350DB6"/>
    <w:rsid w:val="00384932"/>
    <w:rsid w:val="00387B79"/>
    <w:rsid w:val="003A0985"/>
    <w:rsid w:val="003A15DE"/>
    <w:rsid w:val="003B0A00"/>
    <w:rsid w:val="003B49FC"/>
    <w:rsid w:val="003B6EF3"/>
    <w:rsid w:val="003C0547"/>
    <w:rsid w:val="003C0DA5"/>
    <w:rsid w:val="003D5BC4"/>
    <w:rsid w:val="003E6F0E"/>
    <w:rsid w:val="003F39D5"/>
    <w:rsid w:val="003F7653"/>
    <w:rsid w:val="003F7C48"/>
    <w:rsid w:val="00401711"/>
    <w:rsid w:val="004067CC"/>
    <w:rsid w:val="00420921"/>
    <w:rsid w:val="0043207E"/>
    <w:rsid w:val="00435274"/>
    <w:rsid w:val="00455036"/>
    <w:rsid w:val="00465549"/>
    <w:rsid w:val="00465992"/>
    <w:rsid w:val="004757AA"/>
    <w:rsid w:val="00477584"/>
    <w:rsid w:val="004B5ED5"/>
    <w:rsid w:val="004C2E4B"/>
    <w:rsid w:val="004D30D5"/>
    <w:rsid w:val="004E171E"/>
    <w:rsid w:val="004E3553"/>
    <w:rsid w:val="004E7287"/>
    <w:rsid w:val="004F3A09"/>
    <w:rsid w:val="00501003"/>
    <w:rsid w:val="00505E88"/>
    <w:rsid w:val="00531784"/>
    <w:rsid w:val="00552648"/>
    <w:rsid w:val="005629A9"/>
    <w:rsid w:val="00581F31"/>
    <w:rsid w:val="00585238"/>
    <w:rsid w:val="00597EFB"/>
    <w:rsid w:val="005B1728"/>
    <w:rsid w:val="005B7742"/>
    <w:rsid w:val="005D2379"/>
    <w:rsid w:val="005D32B3"/>
    <w:rsid w:val="005D6F9D"/>
    <w:rsid w:val="005F7E30"/>
    <w:rsid w:val="00601788"/>
    <w:rsid w:val="006073A5"/>
    <w:rsid w:val="00613213"/>
    <w:rsid w:val="00615225"/>
    <w:rsid w:val="00624A0F"/>
    <w:rsid w:val="00624F98"/>
    <w:rsid w:val="006277E0"/>
    <w:rsid w:val="00646838"/>
    <w:rsid w:val="00647380"/>
    <w:rsid w:val="00674E1E"/>
    <w:rsid w:val="00687B0B"/>
    <w:rsid w:val="00693F7A"/>
    <w:rsid w:val="00696796"/>
    <w:rsid w:val="006A2115"/>
    <w:rsid w:val="006A5EF8"/>
    <w:rsid w:val="006B024A"/>
    <w:rsid w:val="006D0B7A"/>
    <w:rsid w:val="006D544F"/>
    <w:rsid w:val="006E405B"/>
    <w:rsid w:val="006E72C2"/>
    <w:rsid w:val="007036AC"/>
    <w:rsid w:val="00707B01"/>
    <w:rsid w:val="007110E4"/>
    <w:rsid w:val="00727E49"/>
    <w:rsid w:val="00757C21"/>
    <w:rsid w:val="00764891"/>
    <w:rsid w:val="007705E5"/>
    <w:rsid w:val="007764A4"/>
    <w:rsid w:val="00777014"/>
    <w:rsid w:val="00781574"/>
    <w:rsid w:val="0078715B"/>
    <w:rsid w:val="00791FC5"/>
    <w:rsid w:val="00792282"/>
    <w:rsid w:val="007A01F4"/>
    <w:rsid w:val="007A20EA"/>
    <w:rsid w:val="007A2AC1"/>
    <w:rsid w:val="007A5278"/>
    <w:rsid w:val="007A7997"/>
    <w:rsid w:val="007B39A2"/>
    <w:rsid w:val="007B6427"/>
    <w:rsid w:val="007D0D33"/>
    <w:rsid w:val="007D6E0B"/>
    <w:rsid w:val="007E0E89"/>
    <w:rsid w:val="007F0DEC"/>
    <w:rsid w:val="007F1805"/>
    <w:rsid w:val="007F233C"/>
    <w:rsid w:val="007F5A80"/>
    <w:rsid w:val="00800A0E"/>
    <w:rsid w:val="00810F84"/>
    <w:rsid w:val="008201FD"/>
    <w:rsid w:val="00822577"/>
    <w:rsid w:val="008228DF"/>
    <w:rsid w:val="00827B0C"/>
    <w:rsid w:val="00827EA5"/>
    <w:rsid w:val="00841B1E"/>
    <w:rsid w:val="008460AC"/>
    <w:rsid w:val="008527D7"/>
    <w:rsid w:val="008654A6"/>
    <w:rsid w:val="00871A43"/>
    <w:rsid w:val="00872BB3"/>
    <w:rsid w:val="00875808"/>
    <w:rsid w:val="0088678C"/>
    <w:rsid w:val="00894256"/>
    <w:rsid w:val="008A59AB"/>
    <w:rsid w:val="008B73E9"/>
    <w:rsid w:val="008C05DC"/>
    <w:rsid w:val="008C1E98"/>
    <w:rsid w:val="008C40CF"/>
    <w:rsid w:val="008D1CCC"/>
    <w:rsid w:val="008D3805"/>
    <w:rsid w:val="008E7F55"/>
    <w:rsid w:val="008F1DFD"/>
    <w:rsid w:val="00907C2D"/>
    <w:rsid w:val="0091522B"/>
    <w:rsid w:val="009279F6"/>
    <w:rsid w:val="0093718E"/>
    <w:rsid w:val="00944FFD"/>
    <w:rsid w:val="00950204"/>
    <w:rsid w:val="009512DE"/>
    <w:rsid w:val="009544E2"/>
    <w:rsid w:val="00966ACE"/>
    <w:rsid w:val="00974FA1"/>
    <w:rsid w:val="00991E72"/>
    <w:rsid w:val="00994F96"/>
    <w:rsid w:val="009C5038"/>
    <w:rsid w:val="009C64B5"/>
    <w:rsid w:val="009D5855"/>
    <w:rsid w:val="009D6B7C"/>
    <w:rsid w:val="009E691A"/>
    <w:rsid w:val="009F28BE"/>
    <w:rsid w:val="00A022A3"/>
    <w:rsid w:val="00A05C23"/>
    <w:rsid w:val="00A32293"/>
    <w:rsid w:val="00A35F25"/>
    <w:rsid w:val="00A3705B"/>
    <w:rsid w:val="00A400F2"/>
    <w:rsid w:val="00A458FA"/>
    <w:rsid w:val="00A46D2D"/>
    <w:rsid w:val="00A63E1D"/>
    <w:rsid w:val="00A6599C"/>
    <w:rsid w:val="00A659DA"/>
    <w:rsid w:val="00A7048E"/>
    <w:rsid w:val="00A72AC3"/>
    <w:rsid w:val="00A8479A"/>
    <w:rsid w:val="00A85919"/>
    <w:rsid w:val="00A93CE7"/>
    <w:rsid w:val="00A951A3"/>
    <w:rsid w:val="00AA41B9"/>
    <w:rsid w:val="00AA6CF0"/>
    <w:rsid w:val="00AA6E1E"/>
    <w:rsid w:val="00AB13FE"/>
    <w:rsid w:val="00AC4275"/>
    <w:rsid w:val="00AD4DB7"/>
    <w:rsid w:val="00AD7A40"/>
    <w:rsid w:val="00AE369C"/>
    <w:rsid w:val="00AF3E37"/>
    <w:rsid w:val="00AF705B"/>
    <w:rsid w:val="00AF770A"/>
    <w:rsid w:val="00B016FA"/>
    <w:rsid w:val="00B03803"/>
    <w:rsid w:val="00B048CD"/>
    <w:rsid w:val="00B04AB5"/>
    <w:rsid w:val="00B160B0"/>
    <w:rsid w:val="00B16D3E"/>
    <w:rsid w:val="00B56897"/>
    <w:rsid w:val="00B57C6F"/>
    <w:rsid w:val="00B7631A"/>
    <w:rsid w:val="00B9202F"/>
    <w:rsid w:val="00B93327"/>
    <w:rsid w:val="00BA28AC"/>
    <w:rsid w:val="00BA3F32"/>
    <w:rsid w:val="00BA3FB7"/>
    <w:rsid w:val="00BC46CC"/>
    <w:rsid w:val="00BC53A1"/>
    <w:rsid w:val="00BC6796"/>
    <w:rsid w:val="00BD2F84"/>
    <w:rsid w:val="00BD6E51"/>
    <w:rsid w:val="00BD725F"/>
    <w:rsid w:val="00BF30DF"/>
    <w:rsid w:val="00BF44A2"/>
    <w:rsid w:val="00C01670"/>
    <w:rsid w:val="00C048BF"/>
    <w:rsid w:val="00C119CB"/>
    <w:rsid w:val="00C14016"/>
    <w:rsid w:val="00C31350"/>
    <w:rsid w:val="00C33B8D"/>
    <w:rsid w:val="00C33EF3"/>
    <w:rsid w:val="00C423FB"/>
    <w:rsid w:val="00C43E0F"/>
    <w:rsid w:val="00C464F6"/>
    <w:rsid w:val="00C47DF8"/>
    <w:rsid w:val="00C50866"/>
    <w:rsid w:val="00C66891"/>
    <w:rsid w:val="00C67B7F"/>
    <w:rsid w:val="00C73CB0"/>
    <w:rsid w:val="00C81421"/>
    <w:rsid w:val="00C81F9B"/>
    <w:rsid w:val="00C840DD"/>
    <w:rsid w:val="00C84334"/>
    <w:rsid w:val="00CA0673"/>
    <w:rsid w:val="00CA4EB8"/>
    <w:rsid w:val="00CB295B"/>
    <w:rsid w:val="00CC750B"/>
    <w:rsid w:val="00CD3354"/>
    <w:rsid w:val="00CD3C3E"/>
    <w:rsid w:val="00CE223A"/>
    <w:rsid w:val="00CE45FD"/>
    <w:rsid w:val="00CE46E9"/>
    <w:rsid w:val="00CE4868"/>
    <w:rsid w:val="00CE50F8"/>
    <w:rsid w:val="00D16105"/>
    <w:rsid w:val="00D166D0"/>
    <w:rsid w:val="00D17790"/>
    <w:rsid w:val="00D17C44"/>
    <w:rsid w:val="00D24FC4"/>
    <w:rsid w:val="00D32A0F"/>
    <w:rsid w:val="00D50BD9"/>
    <w:rsid w:val="00D519E6"/>
    <w:rsid w:val="00D5788A"/>
    <w:rsid w:val="00D61C0E"/>
    <w:rsid w:val="00D64B88"/>
    <w:rsid w:val="00D661D9"/>
    <w:rsid w:val="00D7009C"/>
    <w:rsid w:val="00D71515"/>
    <w:rsid w:val="00D77BA6"/>
    <w:rsid w:val="00D83409"/>
    <w:rsid w:val="00D84E16"/>
    <w:rsid w:val="00D87A2F"/>
    <w:rsid w:val="00D87DCD"/>
    <w:rsid w:val="00DA3364"/>
    <w:rsid w:val="00DA6341"/>
    <w:rsid w:val="00DB62AB"/>
    <w:rsid w:val="00DB75FF"/>
    <w:rsid w:val="00DC0B2E"/>
    <w:rsid w:val="00DC4F93"/>
    <w:rsid w:val="00DE2494"/>
    <w:rsid w:val="00DF1B0F"/>
    <w:rsid w:val="00E06643"/>
    <w:rsid w:val="00E235E9"/>
    <w:rsid w:val="00E268DF"/>
    <w:rsid w:val="00E273BE"/>
    <w:rsid w:val="00E43573"/>
    <w:rsid w:val="00E4423B"/>
    <w:rsid w:val="00E533C7"/>
    <w:rsid w:val="00E54ABE"/>
    <w:rsid w:val="00E70173"/>
    <w:rsid w:val="00E752EE"/>
    <w:rsid w:val="00E77E88"/>
    <w:rsid w:val="00E77EFF"/>
    <w:rsid w:val="00E83CE4"/>
    <w:rsid w:val="00E8688B"/>
    <w:rsid w:val="00EA11CA"/>
    <w:rsid w:val="00EA7392"/>
    <w:rsid w:val="00EB3DCC"/>
    <w:rsid w:val="00EB3F9A"/>
    <w:rsid w:val="00ED01C9"/>
    <w:rsid w:val="00ED14D3"/>
    <w:rsid w:val="00ED70BE"/>
    <w:rsid w:val="00EE1F8A"/>
    <w:rsid w:val="00EE2003"/>
    <w:rsid w:val="00EE3395"/>
    <w:rsid w:val="00EE7268"/>
    <w:rsid w:val="00EE7640"/>
    <w:rsid w:val="00EE7AA8"/>
    <w:rsid w:val="00EF1D38"/>
    <w:rsid w:val="00F01DED"/>
    <w:rsid w:val="00F1182B"/>
    <w:rsid w:val="00F211E4"/>
    <w:rsid w:val="00F22F67"/>
    <w:rsid w:val="00F24492"/>
    <w:rsid w:val="00F2505D"/>
    <w:rsid w:val="00F32ED2"/>
    <w:rsid w:val="00F32F07"/>
    <w:rsid w:val="00F42C13"/>
    <w:rsid w:val="00F44E47"/>
    <w:rsid w:val="00F45D6A"/>
    <w:rsid w:val="00F70416"/>
    <w:rsid w:val="00F70592"/>
    <w:rsid w:val="00F81BCA"/>
    <w:rsid w:val="00F910F1"/>
    <w:rsid w:val="00F92B1F"/>
    <w:rsid w:val="00FA250A"/>
    <w:rsid w:val="00FA2C60"/>
    <w:rsid w:val="00FA7C66"/>
    <w:rsid w:val="00FB1054"/>
    <w:rsid w:val="00FC5C79"/>
    <w:rsid w:val="00FD330A"/>
    <w:rsid w:val="00FD4BF3"/>
    <w:rsid w:val="00FD5B0F"/>
    <w:rsid w:val="00FE443B"/>
    <w:rsid w:val="00FE557F"/>
    <w:rsid w:val="00FF1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F11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19"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5" w:unhideWhenUsed="1" w:qFormat="1"/>
    <w:lsdException w:name="List Bullet" w:uiPriority="6" w:unhideWhenUsed="1" w:qFormat="1"/>
    <w:lsdException w:name="List Number" w:uiPriority="7" w:qFormat="1"/>
    <w:lsdException w:name="List 2" w:uiPriority="5" w:unhideWhenUsed="1" w:qFormat="1"/>
    <w:lsdException w:name="List 3" w:uiPriority="5" w:unhideWhenUsed="1"/>
    <w:lsdException w:name="List 4" w:uiPriority="5"/>
    <w:lsdException w:name="List 5" w:uiPriority="5"/>
    <w:lsdException w:name="List Bullet 2" w:uiPriority="6" w:qFormat="1"/>
    <w:lsdException w:name="List Bullet 3" w:uiPriority="6"/>
    <w:lsdException w:name="List Bullet 4" w:uiPriority="6"/>
    <w:lsdException w:name="List Bullet 5" w:uiPriority="6"/>
    <w:lsdException w:name="List Number 2" w:uiPriority="7" w:qFormat="1"/>
    <w:lsdException w:name="List Number 3" w:uiPriority="7"/>
    <w:lsdException w:name="List Number 4" w:uiPriority="7"/>
    <w:lsdException w:name="List Number 5" w:uiPriority="7"/>
    <w:lsdException w:name="Title" w:uiPriority="10" w:qFormat="1"/>
    <w:lsdException w:name="Closing" w:semiHidden="1" w:unhideWhenUsed="1"/>
    <w:lsdException w:name="Signature"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uiPriority="8" w:unhideWhenUsed="1" w:qFormat="1"/>
    <w:lsdException w:name="List Continue 2" w:uiPriority="8" w:unhideWhenUsed="1" w:qFormat="1"/>
    <w:lsdException w:name="List Continue 3" w:uiPriority="8" w:unhideWhenUsed="1"/>
    <w:lsdException w:name="List Continue 4" w:uiPriority="8" w:unhideWhenUsed="1"/>
    <w:lsdException w:name="List Continue 5" w:uiPriority="8"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2" w:unhideWhenUsed="1" w:qFormat="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9"/>
    <w:qFormat/>
    <w:rsid w:val="003B6EF3"/>
  </w:style>
  <w:style w:type="paragraph" w:styleId="Heading1">
    <w:name w:val="heading 1"/>
    <w:basedOn w:val="Normal"/>
    <w:link w:val="Heading1Char"/>
    <w:uiPriority w:val="4"/>
    <w:qFormat/>
    <w:rsid w:val="00A6599C"/>
    <w:pPr>
      <w:numPr>
        <w:numId w:val="21"/>
      </w:numPr>
      <w:spacing w:after="240"/>
      <w:outlineLvl w:val="0"/>
    </w:pPr>
    <w:rPr>
      <w:rFonts w:asciiTheme="majorHAnsi" w:eastAsiaTheme="majorEastAsia" w:hAnsiTheme="majorHAnsi" w:cstheme="majorBidi"/>
      <w:bCs/>
      <w:szCs w:val="28"/>
    </w:rPr>
  </w:style>
  <w:style w:type="paragraph" w:styleId="Heading2">
    <w:name w:val="heading 2"/>
    <w:basedOn w:val="Normal"/>
    <w:link w:val="Heading2Char"/>
    <w:uiPriority w:val="4"/>
    <w:qFormat/>
    <w:rsid w:val="00A6599C"/>
    <w:pPr>
      <w:numPr>
        <w:ilvl w:val="1"/>
        <w:numId w:val="21"/>
      </w:numPr>
      <w:spacing w:after="240"/>
      <w:outlineLvl w:val="1"/>
    </w:pPr>
    <w:rPr>
      <w:rFonts w:asciiTheme="majorHAnsi" w:eastAsiaTheme="majorEastAsia" w:hAnsiTheme="majorHAnsi" w:cstheme="majorBidi"/>
      <w:bCs/>
      <w:szCs w:val="26"/>
    </w:rPr>
  </w:style>
  <w:style w:type="paragraph" w:styleId="Heading3">
    <w:name w:val="heading 3"/>
    <w:basedOn w:val="Normal"/>
    <w:link w:val="Heading3Char"/>
    <w:uiPriority w:val="4"/>
    <w:qFormat/>
    <w:rsid w:val="00A6599C"/>
    <w:pPr>
      <w:numPr>
        <w:ilvl w:val="2"/>
        <w:numId w:val="21"/>
      </w:numPr>
      <w:spacing w:after="240"/>
      <w:outlineLvl w:val="2"/>
    </w:pPr>
    <w:rPr>
      <w:rFonts w:asciiTheme="majorHAnsi" w:eastAsiaTheme="majorEastAsia" w:hAnsiTheme="majorHAnsi" w:cstheme="majorBidi"/>
      <w:bCs/>
    </w:rPr>
  </w:style>
  <w:style w:type="paragraph" w:styleId="Heading4">
    <w:name w:val="heading 4"/>
    <w:basedOn w:val="Normal"/>
    <w:link w:val="Heading4Char"/>
    <w:uiPriority w:val="4"/>
    <w:qFormat/>
    <w:rsid w:val="00A6599C"/>
    <w:pPr>
      <w:numPr>
        <w:ilvl w:val="3"/>
        <w:numId w:val="21"/>
      </w:numPr>
      <w:spacing w:after="240"/>
      <w:outlineLvl w:val="3"/>
    </w:pPr>
    <w:rPr>
      <w:rFonts w:asciiTheme="majorHAnsi" w:eastAsiaTheme="majorEastAsia" w:hAnsiTheme="majorHAnsi" w:cstheme="majorBidi"/>
      <w:bCs/>
      <w:iCs/>
    </w:rPr>
  </w:style>
  <w:style w:type="paragraph" w:styleId="Heading5">
    <w:name w:val="heading 5"/>
    <w:basedOn w:val="Normal"/>
    <w:link w:val="Heading5Char"/>
    <w:uiPriority w:val="4"/>
    <w:qFormat/>
    <w:rsid w:val="00A6599C"/>
    <w:pPr>
      <w:numPr>
        <w:ilvl w:val="4"/>
        <w:numId w:val="21"/>
      </w:numPr>
      <w:spacing w:after="240"/>
      <w:outlineLvl w:val="4"/>
    </w:pPr>
    <w:rPr>
      <w:rFonts w:asciiTheme="majorHAnsi" w:eastAsiaTheme="majorEastAsia" w:hAnsiTheme="majorHAnsi" w:cstheme="majorBidi"/>
    </w:rPr>
  </w:style>
  <w:style w:type="paragraph" w:styleId="Heading6">
    <w:name w:val="heading 6"/>
    <w:basedOn w:val="Normal"/>
    <w:link w:val="Heading6Char"/>
    <w:uiPriority w:val="4"/>
    <w:qFormat/>
    <w:rsid w:val="00A6599C"/>
    <w:pPr>
      <w:numPr>
        <w:ilvl w:val="5"/>
        <w:numId w:val="21"/>
      </w:numPr>
      <w:spacing w:after="240"/>
      <w:outlineLvl w:val="5"/>
    </w:pPr>
    <w:rPr>
      <w:rFonts w:asciiTheme="majorHAnsi" w:eastAsiaTheme="majorEastAsia" w:hAnsiTheme="majorHAnsi" w:cstheme="majorBidi"/>
      <w:iCs/>
    </w:rPr>
  </w:style>
  <w:style w:type="paragraph" w:styleId="Heading7">
    <w:name w:val="heading 7"/>
    <w:basedOn w:val="Normal"/>
    <w:link w:val="Heading7Char"/>
    <w:uiPriority w:val="4"/>
    <w:qFormat/>
    <w:rsid w:val="00A6599C"/>
    <w:pPr>
      <w:numPr>
        <w:ilvl w:val="6"/>
        <w:numId w:val="21"/>
      </w:numPr>
      <w:spacing w:after="240"/>
      <w:outlineLvl w:val="6"/>
    </w:pPr>
    <w:rPr>
      <w:rFonts w:asciiTheme="majorHAnsi" w:eastAsiaTheme="majorEastAsia" w:hAnsiTheme="majorHAnsi" w:cstheme="majorBidi"/>
      <w:iCs/>
    </w:rPr>
  </w:style>
  <w:style w:type="paragraph" w:styleId="Heading8">
    <w:name w:val="heading 8"/>
    <w:basedOn w:val="Normal"/>
    <w:link w:val="Heading8Char"/>
    <w:uiPriority w:val="4"/>
    <w:qFormat/>
    <w:rsid w:val="00A6599C"/>
    <w:pPr>
      <w:numPr>
        <w:ilvl w:val="7"/>
        <w:numId w:val="21"/>
      </w:numPr>
      <w:spacing w:after="240"/>
      <w:outlineLvl w:val="7"/>
    </w:pPr>
    <w:rPr>
      <w:rFonts w:asciiTheme="majorHAnsi" w:eastAsiaTheme="majorEastAsia" w:hAnsiTheme="majorHAnsi" w:cstheme="majorBidi"/>
      <w:szCs w:val="20"/>
    </w:rPr>
  </w:style>
  <w:style w:type="paragraph" w:styleId="Heading9">
    <w:name w:val="heading 9"/>
    <w:basedOn w:val="Normal"/>
    <w:link w:val="Heading9Char"/>
    <w:uiPriority w:val="4"/>
    <w:qFormat/>
    <w:rsid w:val="00A6599C"/>
    <w:pPr>
      <w:numPr>
        <w:ilvl w:val="8"/>
        <w:numId w:val="21"/>
      </w:numPr>
      <w:spacing w:after="240"/>
      <w:outlineLvl w:val="8"/>
    </w:pPr>
    <w:rPr>
      <w:rFonts w:asciiTheme="majorHAnsi" w:eastAsiaTheme="majorEastAsia" w:hAnsiTheme="majorHAnsi"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C66891"/>
    <w:pPr>
      <w:spacing w:after="240"/>
    </w:pPr>
  </w:style>
  <w:style w:type="character" w:customStyle="1" w:styleId="BodyTextChar">
    <w:name w:val="Body Text Char"/>
    <w:basedOn w:val="DefaultParagraphFont"/>
    <w:link w:val="BodyText"/>
    <w:rsid w:val="00C66891"/>
  </w:style>
  <w:style w:type="paragraph" w:styleId="BodyText2">
    <w:name w:val="Body Text 2"/>
    <w:basedOn w:val="BodyText"/>
    <w:link w:val="BodyText2Char"/>
    <w:uiPriority w:val="99"/>
    <w:rsid w:val="00C66891"/>
    <w:pPr>
      <w:spacing w:after="0" w:line="480" w:lineRule="auto"/>
    </w:pPr>
  </w:style>
  <w:style w:type="character" w:customStyle="1" w:styleId="BodyText2Char">
    <w:name w:val="Body Text 2 Char"/>
    <w:basedOn w:val="DefaultParagraphFont"/>
    <w:link w:val="BodyText2"/>
    <w:uiPriority w:val="99"/>
    <w:rsid w:val="00C66891"/>
  </w:style>
  <w:style w:type="paragraph" w:styleId="BodyTextFirstIndent">
    <w:name w:val="Body Text First Indent"/>
    <w:basedOn w:val="BodyText"/>
    <w:link w:val="BodyTextFirstIndentChar"/>
    <w:qFormat/>
    <w:rsid w:val="00C66891"/>
    <w:pPr>
      <w:ind w:firstLine="1440"/>
    </w:pPr>
  </w:style>
  <w:style w:type="character" w:customStyle="1" w:styleId="BodyTextFirstIndentChar">
    <w:name w:val="Body Text First Indent Char"/>
    <w:basedOn w:val="BodyTextChar"/>
    <w:link w:val="BodyTextFirstIndent"/>
    <w:rsid w:val="00C66891"/>
  </w:style>
  <w:style w:type="paragraph" w:styleId="BodyTextIndent">
    <w:name w:val="Body Text Indent"/>
    <w:basedOn w:val="BodyText"/>
    <w:link w:val="BodyTextIndentChar"/>
    <w:rsid w:val="00C66891"/>
    <w:pPr>
      <w:ind w:left="1440"/>
    </w:pPr>
  </w:style>
  <w:style w:type="character" w:customStyle="1" w:styleId="BodyTextIndentChar">
    <w:name w:val="Body Text Indent Char"/>
    <w:basedOn w:val="DefaultParagraphFont"/>
    <w:link w:val="BodyTextIndent"/>
    <w:rsid w:val="00C66891"/>
  </w:style>
  <w:style w:type="paragraph" w:styleId="BodyTextFirstIndent2">
    <w:name w:val="Body Text First Indent 2"/>
    <w:basedOn w:val="BodyTextFirstIndent"/>
    <w:link w:val="BodyTextFirstIndent2Char"/>
    <w:rsid w:val="00C66891"/>
    <w:pPr>
      <w:spacing w:after="0" w:line="480" w:lineRule="auto"/>
    </w:pPr>
  </w:style>
  <w:style w:type="character" w:customStyle="1" w:styleId="BodyTextFirstIndent2Char">
    <w:name w:val="Body Text First Indent 2 Char"/>
    <w:basedOn w:val="BodyTextIndentChar"/>
    <w:link w:val="BodyTextFirstIndent2"/>
    <w:rsid w:val="00C66891"/>
  </w:style>
  <w:style w:type="paragraph" w:styleId="BodyTextIndent2">
    <w:name w:val="Body Text Indent 2"/>
    <w:basedOn w:val="BodyTextIndent"/>
    <w:link w:val="BodyTextIndent2Char"/>
    <w:rsid w:val="00C66891"/>
    <w:pPr>
      <w:spacing w:after="0" w:line="480" w:lineRule="auto"/>
    </w:pPr>
  </w:style>
  <w:style w:type="character" w:customStyle="1" w:styleId="BodyTextIndent2Char">
    <w:name w:val="Body Text Indent 2 Char"/>
    <w:basedOn w:val="DefaultParagraphFont"/>
    <w:link w:val="BodyTextIndent2"/>
    <w:rsid w:val="00C66891"/>
  </w:style>
  <w:style w:type="paragraph" w:customStyle="1" w:styleId="BodyTextHalfIndent">
    <w:name w:val="Body Text Half Indent"/>
    <w:basedOn w:val="BodyText"/>
    <w:link w:val="BodyTextHalfIndentChar"/>
    <w:rsid w:val="00C66891"/>
    <w:pPr>
      <w:ind w:left="720"/>
    </w:pPr>
  </w:style>
  <w:style w:type="paragraph" w:customStyle="1" w:styleId="BodyTextHalfIndent2">
    <w:name w:val="Body Text Half Indent 2"/>
    <w:basedOn w:val="BodyTextHalfIndent"/>
    <w:link w:val="BodyTextHalfIndent2Char"/>
    <w:rsid w:val="00C66891"/>
    <w:pPr>
      <w:spacing w:after="0" w:line="480" w:lineRule="auto"/>
    </w:pPr>
  </w:style>
  <w:style w:type="character" w:customStyle="1" w:styleId="BodyTextHalfIndentChar">
    <w:name w:val="Body Text Half Indent Char"/>
    <w:basedOn w:val="BodyTextChar"/>
    <w:link w:val="BodyTextHalfIndent"/>
    <w:rsid w:val="00C66891"/>
  </w:style>
  <w:style w:type="paragraph" w:customStyle="1" w:styleId="BodyTextFirstHalfIndent">
    <w:name w:val="Body Text First Half Indent"/>
    <w:basedOn w:val="BodyText"/>
    <w:link w:val="BodyTextFirstHalfIndentChar"/>
    <w:rsid w:val="00C66891"/>
    <w:pPr>
      <w:ind w:firstLine="720"/>
    </w:pPr>
  </w:style>
  <w:style w:type="character" w:customStyle="1" w:styleId="BodyTextHalfIndent2Char">
    <w:name w:val="Body Text Half Indent 2 Char"/>
    <w:basedOn w:val="BodyTextHalfIndentChar"/>
    <w:link w:val="BodyTextHalfIndent2"/>
    <w:rsid w:val="00C66891"/>
  </w:style>
  <w:style w:type="paragraph" w:customStyle="1" w:styleId="BodyTextFirstHalfIndent2">
    <w:name w:val="Body Text First Half Indent 2"/>
    <w:basedOn w:val="BodyTextFirstHalfIndent"/>
    <w:link w:val="BodyTextFirstHalfIndent2Char"/>
    <w:rsid w:val="00C66891"/>
    <w:pPr>
      <w:spacing w:after="0" w:line="480" w:lineRule="auto"/>
    </w:pPr>
  </w:style>
  <w:style w:type="character" w:customStyle="1" w:styleId="BodyTextFirstHalfIndentChar">
    <w:name w:val="Body Text First Half Indent Char"/>
    <w:basedOn w:val="BodyTextChar"/>
    <w:link w:val="BodyTextFirstHalfIndent"/>
    <w:rsid w:val="00C66891"/>
  </w:style>
  <w:style w:type="paragraph" w:styleId="EnvelopeAddress">
    <w:name w:val="envelope address"/>
    <w:basedOn w:val="Normal"/>
    <w:uiPriority w:val="99"/>
    <w:semiHidden/>
    <w:unhideWhenUsed/>
    <w:rsid w:val="00C66891"/>
    <w:pPr>
      <w:framePr w:w="7920" w:h="1987" w:hRule="exact" w:hSpace="187" w:wrap="around" w:hAnchor="page" w:xAlign="center" w:yAlign="bottom"/>
      <w:ind w:left="2880"/>
    </w:pPr>
    <w:rPr>
      <w:rFonts w:eastAsiaTheme="majorEastAsia" w:cstheme="majorBidi"/>
    </w:rPr>
  </w:style>
  <w:style w:type="character" w:customStyle="1" w:styleId="BodyTextFirstHalfIndent2Char">
    <w:name w:val="Body Text First Half Indent 2 Char"/>
    <w:basedOn w:val="BodyTextFirstHalfIndentChar"/>
    <w:link w:val="BodyTextFirstHalfIndent2"/>
    <w:rsid w:val="00C66891"/>
  </w:style>
  <w:style w:type="paragraph" w:styleId="EnvelopeReturn">
    <w:name w:val="envelope return"/>
    <w:basedOn w:val="Normal"/>
    <w:uiPriority w:val="99"/>
    <w:semiHidden/>
    <w:unhideWhenUsed/>
    <w:rsid w:val="00C66891"/>
    <w:rPr>
      <w:rFonts w:eastAsiaTheme="majorEastAsia" w:cstheme="majorBidi"/>
      <w:sz w:val="20"/>
      <w:szCs w:val="20"/>
    </w:rPr>
  </w:style>
  <w:style w:type="paragraph" w:styleId="Footer">
    <w:name w:val="footer"/>
    <w:basedOn w:val="Normal"/>
    <w:link w:val="FooterChar"/>
    <w:uiPriority w:val="99"/>
    <w:rsid w:val="00C66891"/>
    <w:pPr>
      <w:tabs>
        <w:tab w:val="center" w:pos="4680"/>
        <w:tab w:val="right" w:pos="9360"/>
      </w:tabs>
    </w:pPr>
  </w:style>
  <w:style w:type="character" w:customStyle="1" w:styleId="FooterChar">
    <w:name w:val="Footer Char"/>
    <w:basedOn w:val="DefaultParagraphFont"/>
    <w:link w:val="Footer"/>
    <w:uiPriority w:val="99"/>
    <w:rsid w:val="000A3C03"/>
  </w:style>
  <w:style w:type="paragraph" w:styleId="Header">
    <w:name w:val="header"/>
    <w:basedOn w:val="Normal"/>
    <w:link w:val="HeaderChar"/>
    <w:uiPriority w:val="99"/>
    <w:semiHidden/>
    <w:rsid w:val="00C66891"/>
    <w:pPr>
      <w:tabs>
        <w:tab w:val="center" w:pos="4680"/>
        <w:tab w:val="right" w:pos="9360"/>
      </w:tabs>
    </w:pPr>
  </w:style>
  <w:style w:type="character" w:customStyle="1" w:styleId="HeaderChar">
    <w:name w:val="Header Char"/>
    <w:basedOn w:val="DefaultParagraphFont"/>
    <w:link w:val="Header"/>
    <w:uiPriority w:val="99"/>
    <w:semiHidden/>
    <w:rsid w:val="000A3C03"/>
  </w:style>
  <w:style w:type="paragraph" w:styleId="NormalIndent">
    <w:name w:val="Normal Indent"/>
    <w:basedOn w:val="Normal"/>
    <w:uiPriority w:val="99"/>
    <w:semiHidden/>
    <w:unhideWhenUsed/>
    <w:rsid w:val="00C66891"/>
    <w:pPr>
      <w:ind w:left="1440"/>
    </w:pPr>
  </w:style>
  <w:style w:type="paragraph" w:customStyle="1" w:styleId="NormalHalfIndent">
    <w:name w:val="Normal Half Indent"/>
    <w:basedOn w:val="Normal"/>
    <w:semiHidden/>
    <w:rsid w:val="00C66891"/>
    <w:pPr>
      <w:ind w:left="720"/>
    </w:pPr>
  </w:style>
  <w:style w:type="paragraph" w:styleId="Salutation">
    <w:name w:val="Salutation"/>
    <w:basedOn w:val="Normal"/>
    <w:next w:val="Normal"/>
    <w:link w:val="SalutationChar"/>
    <w:uiPriority w:val="99"/>
    <w:rsid w:val="00B160B0"/>
    <w:pPr>
      <w:spacing w:after="240"/>
    </w:pPr>
  </w:style>
  <w:style w:type="character" w:customStyle="1" w:styleId="SalutationChar">
    <w:name w:val="Salutation Char"/>
    <w:basedOn w:val="DefaultParagraphFont"/>
    <w:link w:val="Salutation"/>
    <w:uiPriority w:val="99"/>
    <w:rsid w:val="00585238"/>
  </w:style>
  <w:style w:type="paragraph" w:styleId="Title">
    <w:name w:val="Title"/>
    <w:basedOn w:val="Normal"/>
    <w:next w:val="Normal"/>
    <w:link w:val="TitleChar"/>
    <w:uiPriority w:val="10"/>
    <w:qFormat/>
    <w:rsid w:val="00A6599C"/>
    <w:pPr>
      <w:spacing w:after="240"/>
      <w:contextualSpacing/>
      <w:jc w:val="center"/>
      <w:outlineLvl w:val="0"/>
    </w:pPr>
    <w:rPr>
      <w:rFonts w:asciiTheme="majorHAnsi" w:eastAsiaTheme="majorEastAsia" w:hAnsiTheme="majorHAnsi" w:cstheme="majorBidi"/>
      <w:b/>
      <w:szCs w:val="52"/>
    </w:rPr>
  </w:style>
  <w:style w:type="character" w:customStyle="1" w:styleId="TitleChar">
    <w:name w:val="Title Char"/>
    <w:basedOn w:val="DefaultParagraphFont"/>
    <w:link w:val="Title"/>
    <w:uiPriority w:val="10"/>
    <w:rsid w:val="00A6599C"/>
    <w:rPr>
      <w:rFonts w:asciiTheme="majorHAnsi" w:eastAsiaTheme="majorEastAsia" w:hAnsiTheme="majorHAnsi" w:cstheme="majorBidi"/>
      <w:b/>
      <w:szCs w:val="52"/>
    </w:rPr>
  </w:style>
  <w:style w:type="paragraph" w:styleId="FootnoteText">
    <w:name w:val="footnote text"/>
    <w:basedOn w:val="Normal"/>
    <w:link w:val="FootnoteTextChar"/>
    <w:uiPriority w:val="99"/>
    <w:unhideWhenUsed/>
    <w:rsid w:val="00B7631A"/>
    <w:pPr>
      <w:spacing w:after="120" w:line="260" w:lineRule="exact"/>
    </w:pPr>
    <w:rPr>
      <w:sz w:val="20"/>
      <w:szCs w:val="20"/>
    </w:rPr>
  </w:style>
  <w:style w:type="character" w:customStyle="1" w:styleId="FootnoteTextChar">
    <w:name w:val="Footnote Text Char"/>
    <w:basedOn w:val="DefaultParagraphFont"/>
    <w:link w:val="FootnoteText"/>
    <w:uiPriority w:val="99"/>
    <w:rsid w:val="00B7631A"/>
    <w:rPr>
      <w:sz w:val="20"/>
      <w:szCs w:val="20"/>
    </w:rPr>
  </w:style>
  <w:style w:type="character" w:styleId="FootnoteReference">
    <w:name w:val="footnote reference"/>
    <w:basedOn w:val="DefaultParagraphFont"/>
    <w:uiPriority w:val="99"/>
    <w:unhideWhenUsed/>
    <w:rsid w:val="00C66891"/>
    <w:rPr>
      <w:vertAlign w:val="superscript"/>
    </w:rPr>
  </w:style>
  <w:style w:type="paragraph" w:styleId="BlockText">
    <w:name w:val="Block Text"/>
    <w:basedOn w:val="Normal"/>
    <w:link w:val="BlockTextChar"/>
    <w:uiPriority w:val="2"/>
    <w:qFormat/>
    <w:rsid w:val="00C66891"/>
    <w:pPr>
      <w:spacing w:after="240"/>
      <w:ind w:left="1440" w:right="1440"/>
    </w:pPr>
    <w:rPr>
      <w:rFonts w:eastAsiaTheme="minorEastAsia"/>
      <w:iCs/>
    </w:rPr>
  </w:style>
  <w:style w:type="paragraph" w:styleId="EndnoteText">
    <w:name w:val="endnote text"/>
    <w:basedOn w:val="Normal"/>
    <w:link w:val="EndnoteTextChar"/>
    <w:uiPriority w:val="99"/>
    <w:semiHidden/>
    <w:unhideWhenUsed/>
    <w:rsid w:val="00C66891"/>
    <w:rPr>
      <w:szCs w:val="20"/>
    </w:rPr>
  </w:style>
  <w:style w:type="character" w:customStyle="1" w:styleId="EndnoteTextChar">
    <w:name w:val="Endnote Text Char"/>
    <w:basedOn w:val="DefaultParagraphFont"/>
    <w:link w:val="EndnoteText"/>
    <w:uiPriority w:val="99"/>
    <w:semiHidden/>
    <w:rsid w:val="00C66891"/>
    <w:rPr>
      <w:szCs w:val="20"/>
    </w:rPr>
  </w:style>
  <w:style w:type="numbering" w:customStyle="1" w:styleId="CovingtonHeadings">
    <w:name w:val="Covington Headings"/>
    <w:uiPriority w:val="99"/>
    <w:rsid w:val="00C66891"/>
    <w:pPr>
      <w:numPr>
        <w:numId w:val="11"/>
      </w:numPr>
    </w:pPr>
  </w:style>
  <w:style w:type="paragraph" w:styleId="Subtitle">
    <w:name w:val="Subtitle"/>
    <w:basedOn w:val="Normal"/>
    <w:next w:val="Normal"/>
    <w:link w:val="SubtitleChar"/>
    <w:uiPriority w:val="11"/>
    <w:qFormat/>
    <w:rsid w:val="00A6599C"/>
    <w:pPr>
      <w:numPr>
        <w:ilvl w:val="1"/>
      </w:numPr>
      <w:spacing w:after="240"/>
      <w:outlineLvl w:val="1"/>
    </w:pPr>
    <w:rPr>
      <w:rFonts w:asciiTheme="majorHAnsi" w:eastAsiaTheme="majorEastAsia" w:hAnsiTheme="majorHAnsi" w:cstheme="majorBidi"/>
      <w:iCs/>
      <w:u w:val="single"/>
    </w:rPr>
  </w:style>
  <w:style w:type="character" w:customStyle="1" w:styleId="Heading1Char">
    <w:name w:val="Heading 1 Char"/>
    <w:basedOn w:val="DefaultParagraphFont"/>
    <w:link w:val="Heading1"/>
    <w:uiPriority w:val="4"/>
    <w:rsid w:val="00A6599C"/>
    <w:rPr>
      <w:rFonts w:asciiTheme="majorHAnsi" w:eastAsiaTheme="majorEastAsia" w:hAnsiTheme="majorHAnsi" w:cstheme="majorBidi"/>
      <w:bCs/>
      <w:szCs w:val="28"/>
    </w:rPr>
  </w:style>
  <w:style w:type="character" w:customStyle="1" w:styleId="Heading2Char">
    <w:name w:val="Heading 2 Char"/>
    <w:basedOn w:val="DefaultParagraphFont"/>
    <w:link w:val="Heading2"/>
    <w:uiPriority w:val="4"/>
    <w:rsid w:val="00A6599C"/>
    <w:rPr>
      <w:rFonts w:asciiTheme="majorHAnsi" w:eastAsiaTheme="majorEastAsia" w:hAnsiTheme="majorHAnsi" w:cstheme="majorBidi"/>
      <w:bCs/>
      <w:szCs w:val="26"/>
    </w:rPr>
  </w:style>
  <w:style w:type="character" w:customStyle="1" w:styleId="Heading3Char">
    <w:name w:val="Heading 3 Char"/>
    <w:basedOn w:val="DefaultParagraphFont"/>
    <w:link w:val="Heading3"/>
    <w:uiPriority w:val="4"/>
    <w:rsid w:val="00A6599C"/>
    <w:rPr>
      <w:rFonts w:asciiTheme="majorHAnsi" w:eastAsiaTheme="majorEastAsia" w:hAnsiTheme="majorHAnsi" w:cstheme="majorBidi"/>
      <w:bCs/>
    </w:rPr>
  </w:style>
  <w:style w:type="character" w:customStyle="1" w:styleId="Heading4Char">
    <w:name w:val="Heading 4 Char"/>
    <w:basedOn w:val="DefaultParagraphFont"/>
    <w:link w:val="Heading4"/>
    <w:uiPriority w:val="4"/>
    <w:rsid w:val="00A6599C"/>
    <w:rPr>
      <w:rFonts w:asciiTheme="majorHAnsi" w:eastAsiaTheme="majorEastAsia" w:hAnsiTheme="majorHAnsi" w:cstheme="majorBidi"/>
      <w:bCs/>
      <w:iCs/>
    </w:rPr>
  </w:style>
  <w:style w:type="character" w:customStyle="1" w:styleId="Heading5Char">
    <w:name w:val="Heading 5 Char"/>
    <w:basedOn w:val="DefaultParagraphFont"/>
    <w:link w:val="Heading5"/>
    <w:uiPriority w:val="4"/>
    <w:rsid w:val="00A6599C"/>
    <w:rPr>
      <w:rFonts w:asciiTheme="majorHAnsi" w:eastAsiaTheme="majorEastAsia" w:hAnsiTheme="majorHAnsi" w:cstheme="majorBidi"/>
    </w:rPr>
  </w:style>
  <w:style w:type="character" w:customStyle="1" w:styleId="Heading6Char">
    <w:name w:val="Heading 6 Char"/>
    <w:basedOn w:val="DefaultParagraphFont"/>
    <w:link w:val="Heading6"/>
    <w:uiPriority w:val="4"/>
    <w:rsid w:val="00A6599C"/>
    <w:rPr>
      <w:rFonts w:asciiTheme="majorHAnsi" w:eastAsiaTheme="majorEastAsia" w:hAnsiTheme="majorHAnsi" w:cstheme="majorBidi"/>
      <w:iCs/>
    </w:rPr>
  </w:style>
  <w:style w:type="character" w:customStyle="1" w:styleId="Heading7Char">
    <w:name w:val="Heading 7 Char"/>
    <w:basedOn w:val="DefaultParagraphFont"/>
    <w:link w:val="Heading7"/>
    <w:uiPriority w:val="4"/>
    <w:rsid w:val="00A6599C"/>
    <w:rPr>
      <w:rFonts w:asciiTheme="majorHAnsi" w:eastAsiaTheme="majorEastAsia" w:hAnsiTheme="majorHAnsi" w:cstheme="majorBidi"/>
      <w:iCs/>
    </w:rPr>
  </w:style>
  <w:style w:type="character" w:customStyle="1" w:styleId="Heading8Char">
    <w:name w:val="Heading 8 Char"/>
    <w:basedOn w:val="DefaultParagraphFont"/>
    <w:link w:val="Heading8"/>
    <w:uiPriority w:val="4"/>
    <w:rsid w:val="00A6599C"/>
    <w:rPr>
      <w:rFonts w:asciiTheme="majorHAnsi" w:eastAsiaTheme="majorEastAsia" w:hAnsiTheme="majorHAnsi" w:cstheme="majorBidi"/>
      <w:szCs w:val="20"/>
    </w:rPr>
  </w:style>
  <w:style w:type="character" w:customStyle="1" w:styleId="Heading9Char">
    <w:name w:val="Heading 9 Char"/>
    <w:basedOn w:val="DefaultParagraphFont"/>
    <w:link w:val="Heading9"/>
    <w:uiPriority w:val="4"/>
    <w:rsid w:val="00A6599C"/>
    <w:rPr>
      <w:rFonts w:asciiTheme="majorHAnsi" w:eastAsiaTheme="majorEastAsia" w:hAnsiTheme="majorHAnsi" w:cstheme="majorBidi"/>
      <w:iCs/>
      <w:szCs w:val="20"/>
    </w:rPr>
  </w:style>
  <w:style w:type="character" w:customStyle="1" w:styleId="SubtitleChar">
    <w:name w:val="Subtitle Char"/>
    <w:basedOn w:val="DefaultParagraphFont"/>
    <w:link w:val="Subtitle"/>
    <w:uiPriority w:val="11"/>
    <w:rsid w:val="00A6599C"/>
    <w:rPr>
      <w:rFonts w:asciiTheme="majorHAnsi" w:eastAsiaTheme="majorEastAsia" w:hAnsiTheme="majorHAnsi" w:cstheme="majorBidi"/>
      <w:iCs/>
      <w:u w:val="single"/>
    </w:rPr>
  </w:style>
  <w:style w:type="paragraph" w:customStyle="1" w:styleId="SubtitleCentered">
    <w:name w:val="Subtitle Centered"/>
    <w:basedOn w:val="Subtitle"/>
    <w:link w:val="SubtitleCenteredChar"/>
    <w:uiPriority w:val="11"/>
    <w:qFormat/>
    <w:rsid w:val="00A6599C"/>
    <w:pPr>
      <w:jc w:val="center"/>
    </w:pPr>
  </w:style>
  <w:style w:type="numbering" w:customStyle="1" w:styleId="ListBullets">
    <w:name w:val="ListBullets"/>
    <w:uiPriority w:val="99"/>
    <w:rsid w:val="00D71515"/>
    <w:pPr>
      <w:numPr>
        <w:numId w:val="22"/>
      </w:numPr>
    </w:pPr>
  </w:style>
  <w:style w:type="numbering" w:customStyle="1" w:styleId="ListNumbers">
    <w:name w:val="ListNumbers"/>
    <w:uiPriority w:val="99"/>
    <w:rsid w:val="00D71515"/>
    <w:pPr>
      <w:numPr>
        <w:numId w:val="23"/>
      </w:numPr>
    </w:pPr>
  </w:style>
  <w:style w:type="paragraph" w:styleId="ListBullet">
    <w:name w:val="List Bullet"/>
    <w:basedOn w:val="Normal"/>
    <w:uiPriority w:val="6"/>
    <w:qFormat/>
    <w:rsid w:val="00477584"/>
    <w:pPr>
      <w:numPr>
        <w:numId w:val="28"/>
      </w:numPr>
      <w:spacing w:after="240"/>
    </w:pPr>
  </w:style>
  <w:style w:type="paragraph" w:styleId="ListBullet2">
    <w:name w:val="List Bullet 2"/>
    <w:basedOn w:val="Normal"/>
    <w:uiPriority w:val="6"/>
    <w:qFormat/>
    <w:rsid w:val="00477584"/>
    <w:pPr>
      <w:numPr>
        <w:ilvl w:val="1"/>
        <w:numId w:val="28"/>
      </w:numPr>
      <w:spacing w:after="240"/>
    </w:pPr>
  </w:style>
  <w:style w:type="paragraph" w:styleId="ListBullet3">
    <w:name w:val="List Bullet 3"/>
    <w:basedOn w:val="Normal"/>
    <w:uiPriority w:val="6"/>
    <w:rsid w:val="00477584"/>
    <w:pPr>
      <w:numPr>
        <w:ilvl w:val="2"/>
        <w:numId w:val="28"/>
      </w:numPr>
      <w:spacing w:after="240"/>
    </w:pPr>
  </w:style>
  <w:style w:type="paragraph" w:styleId="ListBullet4">
    <w:name w:val="List Bullet 4"/>
    <w:basedOn w:val="Normal"/>
    <w:uiPriority w:val="6"/>
    <w:rsid w:val="00477584"/>
    <w:pPr>
      <w:numPr>
        <w:ilvl w:val="3"/>
        <w:numId w:val="28"/>
      </w:numPr>
      <w:spacing w:after="240"/>
    </w:pPr>
  </w:style>
  <w:style w:type="paragraph" w:styleId="ListBullet5">
    <w:name w:val="List Bullet 5"/>
    <w:basedOn w:val="Normal"/>
    <w:uiPriority w:val="6"/>
    <w:rsid w:val="00477584"/>
    <w:pPr>
      <w:numPr>
        <w:ilvl w:val="4"/>
        <w:numId w:val="28"/>
      </w:numPr>
      <w:spacing w:after="240"/>
    </w:pPr>
  </w:style>
  <w:style w:type="paragraph" w:styleId="List">
    <w:name w:val="List"/>
    <w:basedOn w:val="Normal"/>
    <w:uiPriority w:val="5"/>
    <w:semiHidden/>
    <w:qFormat/>
    <w:rsid w:val="00477584"/>
    <w:pPr>
      <w:spacing w:after="240"/>
      <w:ind w:left="360" w:hanging="360"/>
    </w:pPr>
  </w:style>
  <w:style w:type="paragraph" w:styleId="ListNumber">
    <w:name w:val="List Number"/>
    <w:basedOn w:val="Normal"/>
    <w:uiPriority w:val="7"/>
    <w:qFormat/>
    <w:rsid w:val="00477584"/>
    <w:pPr>
      <w:numPr>
        <w:numId w:val="29"/>
      </w:numPr>
      <w:spacing w:after="240"/>
    </w:pPr>
  </w:style>
  <w:style w:type="paragraph" w:styleId="ListNumber2">
    <w:name w:val="List Number 2"/>
    <w:basedOn w:val="Normal"/>
    <w:uiPriority w:val="7"/>
    <w:qFormat/>
    <w:rsid w:val="00477584"/>
    <w:pPr>
      <w:numPr>
        <w:ilvl w:val="1"/>
        <w:numId w:val="29"/>
      </w:numPr>
      <w:spacing w:after="240"/>
    </w:pPr>
  </w:style>
  <w:style w:type="paragraph" w:styleId="ListNumber3">
    <w:name w:val="List Number 3"/>
    <w:basedOn w:val="Normal"/>
    <w:uiPriority w:val="7"/>
    <w:rsid w:val="00477584"/>
    <w:pPr>
      <w:numPr>
        <w:ilvl w:val="2"/>
        <w:numId w:val="29"/>
      </w:numPr>
      <w:spacing w:after="240"/>
    </w:pPr>
  </w:style>
  <w:style w:type="paragraph" w:styleId="ListNumber4">
    <w:name w:val="List Number 4"/>
    <w:basedOn w:val="Normal"/>
    <w:uiPriority w:val="7"/>
    <w:rsid w:val="00477584"/>
    <w:pPr>
      <w:numPr>
        <w:ilvl w:val="3"/>
        <w:numId w:val="29"/>
      </w:numPr>
      <w:spacing w:after="240"/>
    </w:pPr>
  </w:style>
  <w:style w:type="paragraph" w:styleId="List2">
    <w:name w:val="List 2"/>
    <w:basedOn w:val="Normal"/>
    <w:uiPriority w:val="5"/>
    <w:semiHidden/>
    <w:qFormat/>
    <w:rsid w:val="00477584"/>
    <w:pPr>
      <w:spacing w:after="240"/>
      <w:ind w:left="720" w:hanging="360"/>
    </w:pPr>
  </w:style>
  <w:style w:type="paragraph" w:styleId="List3">
    <w:name w:val="List 3"/>
    <w:basedOn w:val="Normal"/>
    <w:uiPriority w:val="5"/>
    <w:semiHidden/>
    <w:rsid w:val="00477584"/>
    <w:pPr>
      <w:spacing w:after="240"/>
      <w:ind w:left="1080" w:hanging="360"/>
    </w:pPr>
  </w:style>
  <w:style w:type="paragraph" w:styleId="List4">
    <w:name w:val="List 4"/>
    <w:basedOn w:val="Normal"/>
    <w:uiPriority w:val="5"/>
    <w:semiHidden/>
    <w:rsid w:val="00477584"/>
    <w:pPr>
      <w:spacing w:after="240"/>
      <w:ind w:left="1440" w:hanging="360"/>
    </w:pPr>
  </w:style>
  <w:style w:type="paragraph" w:styleId="List5">
    <w:name w:val="List 5"/>
    <w:basedOn w:val="Normal"/>
    <w:uiPriority w:val="5"/>
    <w:semiHidden/>
    <w:rsid w:val="00477584"/>
    <w:pPr>
      <w:spacing w:after="240"/>
      <w:ind w:left="1800" w:hanging="360"/>
    </w:pPr>
  </w:style>
  <w:style w:type="paragraph" w:styleId="ListContinue">
    <w:name w:val="List Continue"/>
    <w:basedOn w:val="Normal"/>
    <w:uiPriority w:val="8"/>
    <w:qFormat/>
    <w:rsid w:val="00477584"/>
    <w:pPr>
      <w:spacing w:after="240"/>
      <w:ind w:left="360"/>
    </w:pPr>
  </w:style>
  <w:style w:type="paragraph" w:styleId="ListContinue2">
    <w:name w:val="List Continue 2"/>
    <w:basedOn w:val="Normal"/>
    <w:uiPriority w:val="8"/>
    <w:qFormat/>
    <w:rsid w:val="00477584"/>
    <w:pPr>
      <w:spacing w:after="240"/>
      <w:ind w:left="720"/>
    </w:pPr>
  </w:style>
  <w:style w:type="paragraph" w:styleId="ListContinue3">
    <w:name w:val="List Continue 3"/>
    <w:basedOn w:val="Normal"/>
    <w:uiPriority w:val="8"/>
    <w:rsid w:val="00477584"/>
    <w:pPr>
      <w:spacing w:after="240"/>
      <w:ind w:left="1080"/>
    </w:pPr>
  </w:style>
  <w:style w:type="paragraph" w:styleId="ListContinue4">
    <w:name w:val="List Continue 4"/>
    <w:basedOn w:val="Normal"/>
    <w:uiPriority w:val="8"/>
    <w:rsid w:val="00477584"/>
    <w:pPr>
      <w:spacing w:after="240"/>
      <w:ind w:left="1440"/>
    </w:pPr>
  </w:style>
  <w:style w:type="paragraph" w:styleId="ListContinue5">
    <w:name w:val="List Continue 5"/>
    <w:basedOn w:val="Normal"/>
    <w:uiPriority w:val="8"/>
    <w:rsid w:val="00477584"/>
    <w:pPr>
      <w:spacing w:after="240"/>
      <w:ind w:left="1800"/>
    </w:pPr>
  </w:style>
  <w:style w:type="paragraph" w:styleId="ListNumber5">
    <w:name w:val="List Number 5"/>
    <w:basedOn w:val="Normal"/>
    <w:uiPriority w:val="7"/>
    <w:rsid w:val="00477584"/>
    <w:pPr>
      <w:numPr>
        <w:ilvl w:val="4"/>
        <w:numId w:val="29"/>
      </w:numPr>
      <w:spacing w:after="240"/>
    </w:pPr>
  </w:style>
  <w:style w:type="character" w:customStyle="1" w:styleId="SubtitleCenteredChar">
    <w:name w:val="Subtitle Centered Char"/>
    <w:basedOn w:val="SubtitleChar"/>
    <w:link w:val="SubtitleCentered"/>
    <w:uiPriority w:val="11"/>
    <w:rsid w:val="00A6599C"/>
    <w:rPr>
      <w:rFonts w:asciiTheme="majorHAnsi" w:eastAsiaTheme="majorEastAsia" w:hAnsiTheme="majorHAnsi" w:cstheme="majorBidi"/>
      <w:iCs/>
      <w:u w:val="single"/>
    </w:rPr>
  </w:style>
  <w:style w:type="character" w:customStyle="1" w:styleId="BlockTextChar">
    <w:name w:val="Block Text Char"/>
    <w:basedOn w:val="DefaultParagraphFont"/>
    <w:link w:val="BlockText"/>
    <w:uiPriority w:val="2"/>
    <w:rsid w:val="007A7997"/>
    <w:rPr>
      <w:rFonts w:eastAsiaTheme="minorEastAsia"/>
      <w:iCs/>
    </w:rPr>
  </w:style>
  <w:style w:type="paragraph" w:customStyle="1" w:styleId="LetteredParagraphDouble">
    <w:name w:val="Lettered Paragraph Double"/>
    <w:basedOn w:val="Normal"/>
    <w:link w:val="LetteredParagraphDoubleChar"/>
    <w:unhideWhenUsed/>
    <w:rsid w:val="000E72A7"/>
    <w:pPr>
      <w:numPr>
        <w:numId w:val="24"/>
      </w:numPr>
      <w:tabs>
        <w:tab w:val="left" w:pos="1800"/>
      </w:tabs>
      <w:spacing w:line="480" w:lineRule="auto"/>
    </w:pPr>
  </w:style>
  <w:style w:type="paragraph" w:customStyle="1" w:styleId="LetteredParagraphSingle">
    <w:name w:val="Lettered Paragraph Single"/>
    <w:basedOn w:val="Normal"/>
    <w:link w:val="LetteredParagraphSingleChar"/>
    <w:unhideWhenUsed/>
    <w:rsid w:val="000E72A7"/>
    <w:pPr>
      <w:numPr>
        <w:numId w:val="25"/>
      </w:numPr>
      <w:tabs>
        <w:tab w:val="left" w:pos="1800"/>
      </w:tabs>
      <w:spacing w:after="240"/>
    </w:pPr>
  </w:style>
  <w:style w:type="character" w:customStyle="1" w:styleId="LetteredParagraphDoubleChar">
    <w:name w:val="Lettered Paragraph Double Char"/>
    <w:basedOn w:val="DefaultParagraphFont"/>
    <w:link w:val="LetteredParagraphDouble"/>
    <w:rsid w:val="000E72A7"/>
  </w:style>
  <w:style w:type="paragraph" w:customStyle="1" w:styleId="NumberedParagraphDouble">
    <w:name w:val="Numbered Paragraph Double"/>
    <w:basedOn w:val="Normal"/>
    <w:link w:val="NumberedParagraphDoubleChar"/>
    <w:rsid w:val="000E72A7"/>
    <w:pPr>
      <w:numPr>
        <w:numId w:val="26"/>
      </w:numPr>
      <w:tabs>
        <w:tab w:val="left" w:pos="720"/>
      </w:tabs>
      <w:spacing w:line="480" w:lineRule="auto"/>
    </w:pPr>
  </w:style>
  <w:style w:type="character" w:customStyle="1" w:styleId="LetteredParagraphSingleChar">
    <w:name w:val="Lettered Paragraph Single Char"/>
    <w:basedOn w:val="DefaultParagraphFont"/>
    <w:link w:val="LetteredParagraphSingle"/>
    <w:rsid w:val="000E72A7"/>
  </w:style>
  <w:style w:type="paragraph" w:customStyle="1" w:styleId="NumberedParagraphSingle">
    <w:name w:val="Numbered Paragraph Single"/>
    <w:basedOn w:val="Normal"/>
    <w:link w:val="NumberedParagraphSingleChar"/>
    <w:rsid w:val="000E72A7"/>
    <w:pPr>
      <w:numPr>
        <w:numId w:val="27"/>
      </w:numPr>
      <w:tabs>
        <w:tab w:val="left" w:pos="1800"/>
      </w:tabs>
      <w:spacing w:after="240"/>
    </w:pPr>
  </w:style>
  <w:style w:type="character" w:customStyle="1" w:styleId="NumberedParagraphDoubleChar">
    <w:name w:val="Numbered Paragraph Double Char"/>
    <w:basedOn w:val="DefaultParagraphFont"/>
    <w:link w:val="NumberedParagraphDouble"/>
    <w:rsid w:val="000E72A7"/>
  </w:style>
  <w:style w:type="paragraph" w:customStyle="1" w:styleId="Re">
    <w:name w:val="Re"/>
    <w:basedOn w:val="Normal"/>
    <w:next w:val="Salutation"/>
    <w:uiPriority w:val="19"/>
    <w:rsid w:val="00B160B0"/>
    <w:pPr>
      <w:tabs>
        <w:tab w:val="left" w:pos="2160"/>
      </w:tabs>
      <w:spacing w:before="240" w:after="240"/>
      <w:ind w:left="2160" w:right="1440" w:hanging="720"/>
      <w:contextualSpacing/>
    </w:pPr>
  </w:style>
  <w:style w:type="character" w:customStyle="1" w:styleId="NumberedParagraphSingleChar">
    <w:name w:val="Numbered Paragraph Single Char"/>
    <w:basedOn w:val="DefaultParagraphFont"/>
    <w:link w:val="NumberedParagraphSingle"/>
    <w:rsid w:val="000E72A7"/>
  </w:style>
  <w:style w:type="paragraph" w:customStyle="1" w:styleId="TableEnd">
    <w:name w:val="Table End"/>
    <w:basedOn w:val="Normal"/>
    <w:uiPriority w:val="19"/>
    <w:rsid w:val="003B49FC"/>
    <w:pPr>
      <w:spacing w:before="60" w:after="180"/>
    </w:pPr>
  </w:style>
  <w:style w:type="paragraph" w:customStyle="1" w:styleId="TableHeading">
    <w:name w:val="Table Heading"/>
    <w:basedOn w:val="Normal"/>
    <w:uiPriority w:val="19"/>
    <w:rsid w:val="003B49FC"/>
    <w:pPr>
      <w:keepNext/>
      <w:spacing w:before="240" w:after="60"/>
      <w:jc w:val="center"/>
    </w:pPr>
    <w:rPr>
      <w:b/>
    </w:rPr>
  </w:style>
  <w:style w:type="paragraph" w:customStyle="1" w:styleId="TableText">
    <w:name w:val="Table Text"/>
    <w:basedOn w:val="Normal"/>
    <w:uiPriority w:val="19"/>
    <w:rsid w:val="003B49FC"/>
    <w:pPr>
      <w:spacing w:before="60" w:after="60"/>
    </w:pPr>
  </w:style>
  <w:style w:type="paragraph" w:styleId="TOCHeading">
    <w:name w:val="TOC Heading"/>
    <w:basedOn w:val="Normal"/>
    <w:next w:val="Normal"/>
    <w:uiPriority w:val="39"/>
    <w:semiHidden/>
    <w:unhideWhenUsed/>
    <w:rsid w:val="001B364F"/>
    <w:pPr>
      <w:spacing w:after="240"/>
      <w:contextualSpacing/>
      <w:jc w:val="center"/>
    </w:pPr>
    <w:rPr>
      <w:b/>
    </w:rPr>
  </w:style>
  <w:style w:type="paragraph" w:styleId="TOC1">
    <w:name w:val="toc 1"/>
    <w:basedOn w:val="Normal"/>
    <w:next w:val="Normal"/>
    <w:uiPriority w:val="39"/>
    <w:semiHidden/>
    <w:rsid w:val="001E0028"/>
    <w:pPr>
      <w:tabs>
        <w:tab w:val="right" w:leader="dot" w:pos="9346"/>
      </w:tabs>
      <w:spacing w:after="240"/>
      <w:ind w:left="720" w:right="720" w:hanging="720"/>
    </w:pPr>
    <w:rPr>
      <w:noProof/>
    </w:rPr>
  </w:style>
  <w:style w:type="paragraph" w:styleId="TOC2">
    <w:name w:val="toc 2"/>
    <w:basedOn w:val="Normal"/>
    <w:next w:val="Normal"/>
    <w:uiPriority w:val="39"/>
    <w:semiHidden/>
    <w:rsid w:val="001E0028"/>
    <w:pPr>
      <w:tabs>
        <w:tab w:val="right" w:leader="dot" w:pos="9346"/>
      </w:tabs>
      <w:spacing w:after="240"/>
      <w:ind w:left="1440" w:right="720" w:hanging="720"/>
    </w:pPr>
    <w:rPr>
      <w:noProof/>
    </w:rPr>
  </w:style>
  <w:style w:type="paragraph" w:styleId="TOC3">
    <w:name w:val="toc 3"/>
    <w:basedOn w:val="Normal"/>
    <w:next w:val="Normal"/>
    <w:uiPriority w:val="39"/>
    <w:semiHidden/>
    <w:rsid w:val="001E0028"/>
    <w:pPr>
      <w:tabs>
        <w:tab w:val="right" w:leader="dot" w:pos="9346"/>
      </w:tabs>
      <w:spacing w:after="240"/>
      <w:ind w:left="2160" w:right="720" w:hanging="720"/>
    </w:pPr>
    <w:rPr>
      <w:noProof/>
    </w:rPr>
  </w:style>
  <w:style w:type="paragraph" w:styleId="TOC4">
    <w:name w:val="toc 4"/>
    <w:basedOn w:val="Normal"/>
    <w:next w:val="Normal"/>
    <w:uiPriority w:val="39"/>
    <w:semiHidden/>
    <w:rsid w:val="001E0028"/>
    <w:pPr>
      <w:tabs>
        <w:tab w:val="right" w:leader="dot" w:pos="9346"/>
      </w:tabs>
      <w:spacing w:after="240"/>
      <w:ind w:left="2880" w:right="720" w:hanging="720"/>
    </w:pPr>
    <w:rPr>
      <w:noProof/>
    </w:rPr>
  </w:style>
  <w:style w:type="paragraph" w:styleId="TOC5">
    <w:name w:val="toc 5"/>
    <w:basedOn w:val="Normal"/>
    <w:next w:val="Normal"/>
    <w:uiPriority w:val="39"/>
    <w:semiHidden/>
    <w:rsid w:val="001E0028"/>
    <w:pPr>
      <w:tabs>
        <w:tab w:val="right" w:leader="dot" w:pos="9346"/>
      </w:tabs>
      <w:spacing w:after="240"/>
      <w:ind w:left="3600" w:right="720" w:hanging="720"/>
    </w:pPr>
    <w:rPr>
      <w:noProof/>
    </w:rPr>
  </w:style>
  <w:style w:type="paragraph" w:styleId="TOC6">
    <w:name w:val="toc 6"/>
    <w:basedOn w:val="Normal"/>
    <w:next w:val="Normal"/>
    <w:uiPriority w:val="39"/>
    <w:semiHidden/>
    <w:rsid w:val="001E0028"/>
    <w:pPr>
      <w:tabs>
        <w:tab w:val="right" w:leader="dot" w:pos="9346"/>
      </w:tabs>
      <w:spacing w:after="240"/>
      <w:ind w:left="4320" w:right="720" w:hanging="720"/>
    </w:pPr>
    <w:rPr>
      <w:noProof/>
    </w:rPr>
  </w:style>
  <w:style w:type="paragraph" w:styleId="TOC7">
    <w:name w:val="toc 7"/>
    <w:basedOn w:val="Normal"/>
    <w:next w:val="Normal"/>
    <w:uiPriority w:val="39"/>
    <w:semiHidden/>
    <w:rsid w:val="001E0028"/>
    <w:pPr>
      <w:tabs>
        <w:tab w:val="right" w:leader="dot" w:pos="9346"/>
      </w:tabs>
      <w:spacing w:after="240"/>
      <w:ind w:left="5040" w:right="720" w:hanging="720"/>
    </w:pPr>
    <w:rPr>
      <w:noProof/>
    </w:rPr>
  </w:style>
  <w:style w:type="paragraph" w:styleId="TOC8">
    <w:name w:val="toc 8"/>
    <w:basedOn w:val="Normal"/>
    <w:next w:val="Normal"/>
    <w:uiPriority w:val="39"/>
    <w:semiHidden/>
    <w:rsid w:val="001E0028"/>
    <w:pPr>
      <w:tabs>
        <w:tab w:val="right" w:leader="dot" w:pos="9346"/>
      </w:tabs>
      <w:spacing w:after="240"/>
      <w:ind w:left="5760" w:right="720" w:hanging="720"/>
    </w:pPr>
    <w:rPr>
      <w:noProof/>
    </w:rPr>
  </w:style>
  <w:style w:type="paragraph" w:styleId="TOC9">
    <w:name w:val="toc 9"/>
    <w:basedOn w:val="Normal"/>
    <w:next w:val="Normal"/>
    <w:uiPriority w:val="39"/>
    <w:semiHidden/>
    <w:rsid w:val="008201FD"/>
    <w:pPr>
      <w:tabs>
        <w:tab w:val="right" w:leader="dot" w:pos="9346"/>
      </w:tabs>
      <w:spacing w:after="240"/>
      <w:ind w:left="6480" w:right="720" w:hanging="720"/>
    </w:pPr>
    <w:rPr>
      <w:noProof/>
    </w:rPr>
  </w:style>
  <w:style w:type="paragraph" w:styleId="BalloonText">
    <w:name w:val="Balloon Text"/>
    <w:basedOn w:val="Normal"/>
    <w:link w:val="BalloonTextChar"/>
    <w:uiPriority w:val="99"/>
    <w:semiHidden/>
    <w:unhideWhenUsed/>
    <w:rsid w:val="00581F31"/>
    <w:rPr>
      <w:rFonts w:ascii="Tahoma" w:hAnsi="Tahoma" w:cs="Tahoma"/>
      <w:sz w:val="16"/>
      <w:szCs w:val="16"/>
    </w:rPr>
  </w:style>
  <w:style w:type="character" w:customStyle="1" w:styleId="BalloonTextChar">
    <w:name w:val="Balloon Text Char"/>
    <w:basedOn w:val="DefaultParagraphFont"/>
    <w:link w:val="BalloonText"/>
    <w:uiPriority w:val="99"/>
    <w:semiHidden/>
    <w:rsid w:val="00581F31"/>
    <w:rPr>
      <w:rFonts w:ascii="Tahoma" w:hAnsi="Tahoma" w:cs="Tahoma"/>
      <w:sz w:val="16"/>
      <w:szCs w:val="16"/>
    </w:rPr>
  </w:style>
  <w:style w:type="character" w:styleId="CommentReference">
    <w:name w:val="annotation reference"/>
    <w:basedOn w:val="DefaultParagraphFont"/>
    <w:uiPriority w:val="99"/>
    <w:semiHidden/>
    <w:unhideWhenUsed/>
    <w:rsid w:val="00C50866"/>
    <w:rPr>
      <w:sz w:val="16"/>
      <w:szCs w:val="16"/>
    </w:rPr>
  </w:style>
  <w:style w:type="paragraph" w:styleId="CommentText">
    <w:name w:val="annotation text"/>
    <w:basedOn w:val="Normal"/>
    <w:link w:val="CommentTextChar"/>
    <w:uiPriority w:val="99"/>
    <w:unhideWhenUsed/>
    <w:rsid w:val="00C50866"/>
    <w:rPr>
      <w:sz w:val="20"/>
      <w:szCs w:val="20"/>
    </w:rPr>
  </w:style>
  <w:style w:type="character" w:customStyle="1" w:styleId="CommentTextChar">
    <w:name w:val="Comment Text Char"/>
    <w:basedOn w:val="DefaultParagraphFont"/>
    <w:link w:val="CommentText"/>
    <w:uiPriority w:val="99"/>
    <w:rsid w:val="00C50866"/>
    <w:rPr>
      <w:sz w:val="20"/>
      <w:szCs w:val="20"/>
    </w:rPr>
  </w:style>
  <w:style w:type="paragraph" w:styleId="CommentSubject">
    <w:name w:val="annotation subject"/>
    <w:basedOn w:val="CommentText"/>
    <w:next w:val="CommentText"/>
    <w:link w:val="CommentSubjectChar"/>
    <w:uiPriority w:val="99"/>
    <w:semiHidden/>
    <w:unhideWhenUsed/>
    <w:rsid w:val="00C50866"/>
    <w:rPr>
      <w:b/>
      <w:bCs/>
    </w:rPr>
  </w:style>
  <w:style w:type="character" w:customStyle="1" w:styleId="CommentSubjectChar">
    <w:name w:val="Comment Subject Char"/>
    <w:basedOn w:val="CommentTextChar"/>
    <w:link w:val="CommentSubject"/>
    <w:uiPriority w:val="99"/>
    <w:semiHidden/>
    <w:rsid w:val="00C50866"/>
    <w:rPr>
      <w:b/>
      <w:bCs/>
      <w:sz w:val="20"/>
      <w:szCs w:val="20"/>
    </w:rPr>
  </w:style>
  <w:style w:type="paragraph" w:styleId="Signature">
    <w:name w:val="Signature"/>
    <w:basedOn w:val="Normal"/>
    <w:link w:val="SignatureChar"/>
    <w:rsid w:val="00531784"/>
    <w:pPr>
      <w:ind w:left="4320"/>
    </w:pPr>
  </w:style>
  <w:style w:type="character" w:customStyle="1" w:styleId="SignatureChar">
    <w:name w:val="Signature Char"/>
    <w:basedOn w:val="DefaultParagraphFont"/>
    <w:link w:val="Signature"/>
    <w:rsid w:val="00531784"/>
  </w:style>
  <w:style w:type="paragraph" w:customStyle="1" w:styleId="BodyTextFirstIndentDouble">
    <w:name w:val="Body Text First Indent Double"/>
    <w:basedOn w:val="BodyText"/>
    <w:rsid w:val="003B0A00"/>
    <w:pPr>
      <w:spacing w:after="0" w:line="480" w:lineRule="auto"/>
      <w:ind w:firstLine="1440"/>
    </w:pPr>
    <w:rPr>
      <w:rFonts w:ascii="Times New Roman" w:eastAsia="Times New Roman" w:hAnsi="Times New Roman" w:cs="Times New Roman"/>
      <w:szCs w:val="20"/>
      <w:lang w:val="x-none" w:eastAsia="x-none"/>
    </w:rPr>
  </w:style>
  <w:style w:type="paragraph" w:customStyle="1" w:styleId="ImanageFooter">
    <w:name w:val="Imanage Footer"/>
    <w:basedOn w:val="Normal"/>
    <w:rsid w:val="00EE7AA8"/>
    <w:rPr>
      <w:rFonts w:ascii="Times New Roman" w:eastAsia="Times New Roman" w:hAnsi="Times New Roman" w:cs="Times New Roman"/>
      <w:sz w:val="16"/>
    </w:rPr>
  </w:style>
  <w:style w:type="paragraph" w:styleId="Revision">
    <w:name w:val="Revision"/>
    <w:hidden/>
    <w:uiPriority w:val="99"/>
    <w:semiHidden/>
    <w:rsid w:val="00871A43"/>
  </w:style>
  <w:style w:type="character" w:styleId="Hyperlink">
    <w:name w:val="Hyperlink"/>
    <w:basedOn w:val="DefaultParagraphFont"/>
    <w:uiPriority w:val="99"/>
    <w:unhideWhenUsed/>
    <w:rsid w:val="00AE369C"/>
    <w:rPr>
      <w:color w:val="0000FF" w:themeColor="hyperlink"/>
      <w:u w:val="single"/>
    </w:rPr>
  </w:style>
  <w:style w:type="character" w:styleId="FollowedHyperlink">
    <w:name w:val="FollowedHyperlink"/>
    <w:basedOn w:val="DefaultParagraphFont"/>
    <w:uiPriority w:val="99"/>
    <w:semiHidden/>
    <w:unhideWhenUsed/>
    <w:rsid w:val="00DF1B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Black Text">
      <a:dk1>
        <a:srgbClr val="000000"/>
      </a:dk1>
      <a:lt1>
        <a:srgbClr val="FFFFFF"/>
      </a:lt1>
      <a:dk2>
        <a:srgbClr val="003366"/>
      </a:dk2>
      <a:lt2>
        <a:srgbClr val="EEECE1"/>
      </a:lt2>
      <a:accent1>
        <a:srgbClr val="000000"/>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vington]">
      <a:majorFont>
        <a:latin typeface="Times New Roman"/>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imes New Roman"/>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lumMod val="60000"/>
            <a:lumOff val="40000"/>
          </a:schemeClr>
        </a:solidFill>
        <a:ln>
          <a:solidFill>
            <a:schemeClr val="tx2">
              <a:lumMod val="60000"/>
              <a:lumOff val="40000"/>
            </a:schemeClr>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33B64-C07D-4943-904C-BA5A9C1A5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1463</Words>
  <Characters>8341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2017-11-21T03:25:00Z</dcterms:created>
  <dcterms:modified xsi:type="dcterms:W3CDTF">2017-11-21T03:26:00Z</dcterms:modified>
</cp:coreProperties>
</file>