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FB86F" w14:textId="4AC452D1" w:rsidR="003322D7" w:rsidRDefault="00D96F4C" w:rsidP="006954C1">
      <w:pPr>
        <w:spacing w:after="0" w:line="259" w:lineRule="auto"/>
        <w:ind w:left="1440" w:firstLine="720"/>
        <w:jc w:val="center"/>
      </w:pPr>
      <w:r>
        <w:t>December 3</w:t>
      </w:r>
      <w:r w:rsidR="00964BAA">
        <w:t>, 2018</w:t>
      </w:r>
    </w:p>
    <w:p w14:paraId="08234B2D" w14:textId="77777777" w:rsidR="009A22F5" w:rsidRDefault="00964BAA" w:rsidP="00B556A8">
      <w:pPr>
        <w:spacing w:after="0" w:line="259" w:lineRule="auto"/>
        <w:ind w:left="0" w:firstLine="0"/>
      </w:pPr>
      <w:r>
        <w:rPr>
          <w:b/>
          <w:u w:val="single" w:color="000000"/>
        </w:rPr>
        <w:t>VIA</w:t>
      </w:r>
      <w:r>
        <w:rPr>
          <w:b/>
          <w:sz w:val="19"/>
          <w:u w:val="single" w:color="000000"/>
        </w:rPr>
        <w:t xml:space="preserve"> </w:t>
      </w:r>
      <w:r>
        <w:rPr>
          <w:b/>
          <w:u w:val="single" w:color="000000"/>
        </w:rPr>
        <w:t>ECFS</w:t>
      </w:r>
      <w:r>
        <w:rPr>
          <w:b/>
        </w:rPr>
        <w:t xml:space="preserve"> </w:t>
      </w:r>
    </w:p>
    <w:p w14:paraId="4D07B073" w14:textId="77777777" w:rsidR="009A22F5" w:rsidRDefault="00964BAA" w:rsidP="003F2BCB">
      <w:pPr>
        <w:spacing w:line="240" w:lineRule="auto"/>
        <w:ind w:left="-5"/>
      </w:pPr>
      <w:r>
        <w:t xml:space="preserve">Ms. Marlene H. Dortch </w:t>
      </w:r>
    </w:p>
    <w:p w14:paraId="3B0900F9" w14:textId="77777777" w:rsidR="009A22F5" w:rsidRDefault="00964BAA" w:rsidP="003F2BCB">
      <w:pPr>
        <w:spacing w:line="240" w:lineRule="auto"/>
        <w:ind w:left="-5"/>
      </w:pPr>
      <w:r>
        <w:t xml:space="preserve">Secretary </w:t>
      </w:r>
    </w:p>
    <w:p w14:paraId="63771816" w14:textId="77777777" w:rsidR="009A22F5" w:rsidRDefault="00964BAA" w:rsidP="003F2BCB">
      <w:pPr>
        <w:spacing w:line="240" w:lineRule="auto"/>
        <w:ind w:left="-5"/>
      </w:pPr>
      <w:r>
        <w:t xml:space="preserve">Federal Communications Commission </w:t>
      </w:r>
    </w:p>
    <w:p w14:paraId="6AE3F6B5" w14:textId="77777777" w:rsidR="009A22F5" w:rsidRDefault="00964BAA" w:rsidP="003F2BCB">
      <w:pPr>
        <w:spacing w:line="240" w:lineRule="auto"/>
        <w:ind w:left="-5"/>
      </w:pPr>
      <w:r>
        <w:t xml:space="preserve">455 12th Street SW </w:t>
      </w:r>
    </w:p>
    <w:p w14:paraId="467C5B1D" w14:textId="77777777" w:rsidR="009A22F5" w:rsidRDefault="00964BAA" w:rsidP="003F2BCB">
      <w:pPr>
        <w:spacing w:line="240" w:lineRule="auto"/>
        <w:ind w:left="-5"/>
      </w:pPr>
      <w:r>
        <w:t xml:space="preserve">Washington, DC 20554 </w:t>
      </w:r>
    </w:p>
    <w:p w14:paraId="2BC04DF7" w14:textId="573923F5" w:rsidR="009A22F5" w:rsidRPr="00A50886" w:rsidRDefault="00FD59C5" w:rsidP="003F2BCB">
      <w:pPr>
        <w:spacing w:after="0" w:line="240" w:lineRule="auto"/>
        <w:ind w:left="0" w:firstLine="0"/>
        <w:rPr>
          <w:sz w:val="16"/>
          <w:szCs w:val="16"/>
        </w:rPr>
      </w:pPr>
    </w:p>
    <w:p w14:paraId="42CDC42E" w14:textId="77777777" w:rsidR="00A50886" w:rsidRDefault="00964BAA" w:rsidP="00D96F4C">
      <w:pPr>
        <w:tabs>
          <w:tab w:val="center" w:pos="4879"/>
        </w:tabs>
        <w:spacing w:after="0" w:line="240" w:lineRule="auto"/>
        <w:ind w:left="720" w:hanging="720"/>
        <w:rPr>
          <w:b/>
        </w:rPr>
      </w:pPr>
      <w:r w:rsidRPr="00EB7B79">
        <w:rPr>
          <w:b/>
        </w:rPr>
        <w:t xml:space="preserve">Re: </w:t>
      </w:r>
      <w:r w:rsidRPr="00EB7B79">
        <w:rPr>
          <w:b/>
        </w:rPr>
        <w:tab/>
      </w:r>
      <w:r w:rsidR="00D96F4C">
        <w:rPr>
          <w:b/>
        </w:rPr>
        <w:t>Advanced Methods to Target and Eliminate Unlawful Robocalls</w:t>
      </w:r>
      <w:r w:rsidR="004B4BB4">
        <w:rPr>
          <w:b/>
        </w:rPr>
        <w:t xml:space="preserve">, </w:t>
      </w:r>
    </w:p>
    <w:p w14:paraId="5DEC746E" w14:textId="6AEBFDF9" w:rsidR="004B4BB4" w:rsidRDefault="00A50886" w:rsidP="00D96F4C">
      <w:pPr>
        <w:tabs>
          <w:tab w:val="center" w:pos="4879"/>
        </w:tabs>
        <w:spacing w:after="0" w:line="240" w:lineRule="auto"/>
        <w:ind w:left="720" w:hanging="720"/>
        <w:rPr>
          <w:b/>
        </w:rPr>
      </w:pPr>
      <w:r>
        <w:rPr>
          <w:b/>
        </w:rPr>
        <w:tab/>
      </w:r>
      <w:r w:rsidR="004B4BB4">
        <w:rPr>
          <w:b/>
        </w:rPr>
        <w:t xml:space="preserve">CG Docket No. </w:t>
      </w:r>
      <w:r w:rsidR="001D504F">
        <w:rPr>
          <w:b/>
        </w:rPr>
        <w:t>17-59</w:t>
      </w:r>
    </w:p>
    <w:p w14:paraId="24E13EE2" w14:textId="21C2FE4E" w:rsidR="00EB7B79" w:rsidRPr="00A50886" w:rsidRDefault="00FD59C5" w:rsidP="003F2BCB">
      <w:pPr>
        <w:tabs>
          <w:tab w:val="center" w:pos="4879"/>
        </w:tabs>
        <w:spacing w:after="0" w:line="240" w:lineRule="auto"/>
        <w:ind w:left="720" w:hanging="720"/>
        <w:rPr>
          <w:sz w:val="16"/>
          <w:szCs w:val="16"/>
        </w:rPr>
      </w:pPr>
    </w:p>
    <w:p w14:paraId="7036248A" w14:textId="77777777" w:rsidR="009A22F5" w:rsidRDefault="00964BAA" w:rsidP="00A50886">
      <w:pPr>
        <w:spacing w:after="120" w:line="240" w:lineRule="auto"/>
        <w:ind w:left="0" w:hanging="14"/>
      </w:pPr>
      <w:r>
        <w:t xml:space="preserve">Dear Ms. Dortch, </w:t>
      </w:r>
    </w:p>
    <w:p w14:paraId="194C3DDC" w14:textId="36013CFE" w:rsidR="009B64E1" w:rsidRPr="005934A2" w:rsidRDefault="004B4BB4" w:rsidP="00D96F4C">
      <w:pPr>
        <w:spacing w:after="240" w:line="240" w:lineRule="auto"/>
        <w:ind w:left="0" w:firstLine="720"/>
      </w:pPr>
      <w:r>
        <w:t xml:space="preserve">On November </w:t>
      </w:r>
      <w:r w:rsidR="00D96F4C">
        <w:t>29</w:t>
      </w:r>
      <w:r>
        <w:t xml:space="preserve">, 2018, </w:t>
      </w:r>
      <w:r w:rsidR="00D96F4C">
        <w:t xml:space="preserve">I spoke by phone with Arielle Roth, </w:t>
      </w:r>
      <w:r w:rsidR="00D01F2D">
        <w:t xml:space="preserve">Wireline </w:t>
      </w:r>
      <w:r w:rsidR="00D96F4C">
        <w:t>Legal Advisor to Commissioner O’Rielly</w:t>
      </w:r>
      <w:r w:rsidR="00D01F2D">
        <w:t>,</w:t>
      </w:r>
      <w:r>
        <w:t xml:space="preserve"> to discuss the </w:t>
      </w:r>
      <w:r w:rsidR="00D96F4C">
        <w:t xml:space="preserve">draft order in the </w:t>
      </w:r>
      <w:r>
        <w:t>above-referenced proceeding</w:t>
      </w:r>
      <w:r w:rsidR="00D96F4C">
        <w:t xml:space="preserve"> to be voted on at the Commission’s December agenda meeting.</w:t>
      </w:r>
      <w:r w:rsidR="00D96F4C">
        <w:rPr>
          <w:rStyle w:val="FootnoteReference"/>
        </w:rPr>
        <w:footnoteReference w:id="2"/>
      </w:r>
      <w:r w:rsidR="00D96F4C">
        <w:t xml:space="preserve">  On November 30, 2018, I spoke by phone with Jamie Susskind, Chief of Staff to Commissioner Carr</w:t>
      </w:r>
      <w:r w:rsidR="00C22287">
        <w:t>, and Travis Litman, Chief of Staff to Commissioner Rosenworcel,</w:t>
      </w:r>
      <w:r w:rsidR="00D96F4C">
        <w:t xml:space="preserve"> to discuss the same item.  Consistent with NCTA’s comments in this proceeding, NCTA encouraged the Commission to include a safe harbor </w:t>
      </w:r>
      <w:r w:rsidR="00720EDF">
        <w:t xml:space="preserve">from TCPA liability </w:t>
      </w:r>
      <w:r w:rsidR="00D96F4C">
        <w:t xml:space="preserve">for callers that make use of the reassigned numbers database that would be </w:t>
      </w:r>
      <w:bookmarkStart w:id="0" w:name="_GoBack"/>
      <w:bookmarkEnd w:id="0"/>
      <w:r w:rsidR="00D96F4C">
        <w:t>established pursuant to the draft order.</w:t>
      </w:r>
      <w:r w:rsidR="001C5DB7">
        <w:rPr>
          <w:rStyle w:val="FootnoteReference"/>
        </w:rPr>
        <w:footnoteReference w:id="3"/>
      </w:r>
      <w:r w:rsidR="00CE3BB7">
        <w:t xml:space="preserve">  </w:t>
      </w:r>
      <w:r w:rsidR="00EA1C0F">
        <w:t>In particular, NCTA explained that t</w:t>
      </w:r>
      <w:r w:rsidR="00300D3C">
        <w:t xml:space="preserve">here is broad support in the record for adopting </w:t>
      </w:r>
      <w:r w:rsidR="00894FCD">
        <w:t xml:space="preserve">a </w:t>
      </w:r>
      <w:r w:rsidR="00CE3BB7">
        <w:t xml:space="preserve">safe harbor </w:t>
      </w:r>
      <w:r w:rsidR="00300D3C">
        <w:t xml:space="preserve">because it </w:t>
      </w:r>
      <w:r w:rsidR="00CE3BB7">
        <w:t>would increase the incentive of callers to use the database</w:t>
      </w:r>
      <w:r w:rsidR="009339E0">
        <w:t xml:space="preserve"> and</w:t>
      </w:r>
      <w:r w:rsidR="00CE3BB7">
        <w:t xml:space="preserve"> thereby reduc</w:t>
      </w:r>
      <w:r w:rsidR="009339E0">
        <w:t>e</w:t>
      </w:r>
      <w:r w:rsidR="00CE3BB7">
        <w:t xml:space="preserve"> the number of calls made to reassigned numbers.</w:t>
      </w:r>
      <w:r w:rsidR="00894FCD">
        <w:rPr>
          <w:rStyle w:val="FootnoteReference"/>
        </w:rPr>
        <w:footnoteReference w:id="4"/>
      </w:r>
    </w:p>
    <w:p w14:paraId="438252DA" w14:textId="038B946C" w:rsidR="009A22F5" w:rsidRDefault="00964BAA" w:rsidP="00E55502">
      <w:pPr>
        <w:spacing w:after="0" w:line="240" w:lineRule="auto"/>
        <w:ind w:left="4320" w:firstLine="720"/>
      </w:pPr>
      <w:r>
        <w:t>Respectfully submitted,</w:t>
      </w:r>
    </w:p>
    <w:p w14:paraId="79B1522E" w14:textId="77777777" w:rsidR="003F2BCB" w:rsidRPr="00A50886" w:rsidRDefault="00FD59C5" w:rsidP="00E55502">
      <w:pPr>
        <w:spacing w:after="0" w:line="240" w:lineRule="auto"/>
        <w:ind w:left="4320" w:firstLine="0"/>
        <w:rPr>
          <w:sz w:val="20"/>
          <w:szCs w:val="20"/>
        </w:rPr>
      </w:pPr>
    </w:p>
    <w:p w14:paraId="22AA9883" w14:textId="43E1C190" w:rsidR="00F103EB" w:rsidRPr="00A50886" w:rsidRDefault="00A50886" w:rsidP="00E55502">
      <w:pPr>
        <w:spacing w:after="0" w:line="240" w:lineRule="auto"/>
        <w:ind w:left="4320" w:firstLine="0"/>
        <w:rPr>
          <w:b/>
          <w:szCs w:val="24"/>
        </w:rPr>
      </w:pPr>
      <w:r w:rsidRPr="00A50886">
        <w:rPr>
          <w:szCs w:val="24"/>
        </w:rPr>
        <w:tab/>
      </w:r>
      <w:r w:rsidRPr="00A50886">
        <w:rPr>
          <w:b/>
          <w:szCs w:val="24"/>
        </w:rPr>
        <w:t>/s/ Steven F. Morris</w:t>
      </w:r>
    </w:p>
    <w:p w14:paraId="05A99F5A" w14:textId="77777777" w:rsidR="00B556A8" w:rsidRPr="00A50886" w:rsidRDefault="00FD59C5" w:rsidP="00E55502">
      <w:pPr>
        <w:spacing w:after="0" w:line="240" w:lineRule="auto"/>
        <w:ind w:left="4320" w:firstLine="0"/>
        <w:rPr>
          <w:sz w:val="20"/>
          <w:szCs w:val="20"/>
        </w:rPr>
      </w:pPr>
    </w:p>
    <w:p w14:paraId="5752F74A" w14:textId="77777777" w:rsidR="009A22F5" w:rsidRDefault="00964BAA" w:rsidP="00E55502">
      <w:pPr>
        <w:spacing w:after="0" w:line="240" w:lineRule="auto"/>
        <w:ind w:left="4320" w:right="965" w:firstLine="720"/>
      </w:pPr>
      <w:r>
        <w:t xml:space="preserve">Steven F. Morris </w:t>
      </w:r>
    </w:p>
    <w:p w14:paraId="2172E748" w14:textId="2FEC3EF4" w:rsidR="00C22287" w:rsidRPr="00A50886" w:rsidRDefault="00C22287" w:rsidP="00D0740F">
      <w:pPr>
        <w:spacing w:after="0" w:line="240" w:lineRule="auto"/>
        <w:ind w:left="0" w:firstLine="0"/>
        <w:rPr>
          <w:sz w:val="20"/>
          <w:szCs w:val="20"/>
        </w:rPr>
      </w:pPr>
    </w:p>
    <w:p w14:paraId="2A8A094F" w14:textId="63A3E41C" w:rsidR="004B4BB4" w:rsidRPr="00FD59C5" w:rsidRDefault="00964BAA" w:rsidP="00D96F4C">
      <w:pPr>
        <w:spacing w:after="0" w:line="240" w:lineRule="auto"/>
        <w:ind w:left="0" w:firstLine="0"/>
        <w:rPr>
          <w:sz w:val="22"/>
        </w:rPr>
      </w:pPr>
      <w:r w:rsidRPr="00FD59C5">
        <w:rPr>
          <w:sz w:val="22"/>
        </w:rPr>
        <w:t xml:space="preserve">cc: </w:t>
      </w:r>
      <w:r w:rsidRPr="00FD59C5">
        <w:rPr>
          <w:sz w:val="22"/>
        </w:rPr>
        <w:tab/>
      </w:r>
      <w:r w:rsidR="00D96F4C" w:rsidRPr="00FD59C5">
        <w:rPr>
          <w:sz w:val="22"/>
        </w:rPr>
        <w:t>Arielle Roth</w:t>
      </w:r>
    </w:p>
    <w:p w14:paraId="5F26DAC9" w14:textId="241AC7E5" w:rsidR="009A22F5" w:rsidRPr="00FD59C5" w:rsidRDefault="00D96F4C" w:rsidP="00777A05">
      <w:pPr>
        <w:spacing w:after="0" w:line="240" w:lineRule="auto"/>
        <w:ind w:left="0" w:firstLine="0"/>
        <w:rPr>
          <w:sz w:val="22"/>
        </w:rPr>
      </w:pPr>
      <w:r w:rsidRPr="00FD59C5">
        <w:rPr>
          <w:sz w:val="22"/>
        </w:rPr>
        <w:tab/>
        <w:t>Jamie Susskind</w:t>
      </w:r>
    </w:p>
    <w:p w14:paraId="32736F96" w14:textId="5C919F3D" w:rsidR="00343A7C" w:rsidRPr="00FD59C5" w:rsidRDefault="00343A7C" w:rsidP="00C22287">
      <w:pPr>
        <w:spacing w:after="0" w:line="240" w:lineRule="auto"/>
        <w:ind w:left="0" w:firstLine="720"/>
        <w:rPr>
          <w:sz w:val="22"/>
        </w:rPr>
      </w:pPr>
      <w:r w:rsidRPr="00FD59C5">
        <w:rPr>
          <w:sz w:val="22"/>
        </w:rPr>
        <w:t>Travis Litman</w:t>
      </w:r>
    </w:p>
    <w:sectPr w:rsidR="00343A7C" w:rsidRPr="00FD59C5" w:rsidSect="00133129">
      <w:headerReference w:type="default" r:id="rId7"/>
      <w:headerReference w:type="first" r:id="rId8"/>
      <w:pgSz w:w="12240" w:h="15840"/>
      <w:pgMar w:top="1440" w:right="1440" w:bottom="810" w:left="1440" w:header="54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3B54B" w14:textId="77777777" w:rsidR="00366BC8" w:rsidRDefault="00366BC8">
      <w:pPr>
        <w:spacing w:after="0" w:line="240" w:lineRule="auto"/>
      </w:pPr>
      <w:r>
        <w:separator/>
      </w:r>
    </w:p>
  </w:endnote>
  <w:endnote w:type="continuationSeparator" w:id="0">
    <w:p w14:paraId="6CEF05AF" w14:textId="77777777" w:rsidR="00366BC8" w:rsidRDefault="00366BC8">
      <w:pPr>
        <w:spacing w:after="0" w:line="240" w:lineRule="auto"/>
      </w:pPr>
      <w:r>
        <w:continuationSeparator/>
      </w:r>
    </w:p>
  </w:endnote>
  <w:endnote w:type="continuationNotice" w:id="1">
    <w:p w14:paraId="7F42DF41" w14:textId="77777777" w:rsidR="00366BC8" w:rsidRDefault="00366B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4320D" w14:textId="77777777" w:rsidR="00366BC8" w:rsidRDefault="00366BC8" w:rsidP="0034098F">
      <w:pPr>
        <w:spacing w:after="0" w:line="240" w:lineRule="auto"/>
      </w:pPr>
      <w:r>
        <w:separator/>
      </w:r>
    </w:p>
  </w:footnote>
  <w:footnote w:type="continuationSeparator" w:id="0">
    <w:p w14:paraId="1AEA5544" w14:textId="77777777" w:rsidR="00366BC8" w:rsidRDefault="00366BC8" w:rsidP="0034098F">
      <w:pPr>
        <w:spacing w:after="0" w:line="240" w:lineRule="auto"/>
      </w:pPr>
      <w:r>
        <w:continuationSeparator/>
      </w:r>
    </w:p>
  </w:footnote>
  <w:footnote w:type="continuationNotice" w:id="1">
    <w:p w14:paraId="65F76783" w14:textId="77777777" w:rsidR="00366BC8" w:rsidRDefault="00366BC8">
      <w:pPr>
        <w:spacing w:after="0" w:line="240" w:lineRule="auto"/>
      </w:pPr>
    </w:p>
  </w:footnote>
  <w:footnote w:id="2">
    <w:p w14:paraId="2141C15D" w14:textId="20259A3C" w:rsidR="00D96F4C" w:rsidRDefault="00D96F4C" w:rsidP="00D96F4C">
      <w:pPr>
        <w:pStyle w:val="FootnoteText"/>
        <w:spacing w:after="120"/>
        <w:ind w:left="360" w:hanging="360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D96F4C">
        <w:rPr>
          <w:i/>
        </w:rPr>
        <w:t>Advanced Methods to Target and Eliminate Unlawful Robocalls</w:t>
      </w:r>
      <w:r>
        <w:t>, CG Docket No. 17-59, Second Report and Order, FCC-CIRC1812-03 (rel. Nov. 21, 2018).</w:t>
      </w:r>
    </w:p>
  </w:footnote>
  <w:footnote w:id="3">
    <w:p w14:paraId="0AD39AA9" w14:textId="7D46E497" w:rsidR="001C5DB7" w:rsidRDefault="001C5DB7" w:rsidP="001C5DB7">
      <w:pPr>
        <w:pStyle w:val="FootnoteText"/>
        <w:spacing w:after="120"/>
        <w:ind w:left="360" w:hanging="360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225EB4">
        <w:t xml:space="preserve">Comments of NCTA – The Internet &amp; Television Association, CG Docket No. 17-59 </w:t>
      </w:r>
      <w:r w:rsidR="00D5496B">
        <w:t xml:space="preserve">at 3 </w:t>
      </w:r>
      <w:r w:rsidR="00225EB4">
        <w:t xml:space="preserve">(filed </w:t>
      </w:r>
      <w:r w:rsidR="00F62093">
        <w:t>Aug. 28, 2017)</w:t>
      </w:r>
      <w:r w:rsidR="00E52087">
        <w:t xml:space="preserve"> (“[A]ny callers using any reassigned numbers identification mechanism consistent with the Commission’s rules should get the benefit of a safe harbor for any violations that result from an error.”).</w:t>
      </w:r>
    </w:p>
  </w:footnote>
  <w:footnote w:id="4">
    <w:p w14:paraId="6B185767" w14:textId="799D90BD" w:rsidR="00894FCD" w:rsidRPr="00894FCD" w:rsidRDefault="00894FCD" w:rsidP="00894FCD">
      <w:pPr>
        <w:pStyle w:val="FootnoteText"/>
        <w:spacing w:after="120"/>
        <w:ind w:left="360" w:hanging="360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E52087">
        <w:rPr>
          <w:i/>
        </w:rPr>
        <w:t>See, e.g.,</w:t>
      </w:r>
      <w:r>
        <w:t xml:space="preserve"> Comments of the National Consumer Law Center, et al, CG Docket No. 17-59 </w:t>
      </w:r>
      <w:r w:rsidR="00D5496B">
        <w:t xml:space="preserve">at 8 </w:t>
      </w:r>
      <w:r>
        <w:t xml:space="preserve">(filed May 29, 2018) (“To incentivize the use of the reassigned number database, and thus reduce the number of unwanted and illegal robocalls, we agree that a limited safe harbor might not be inappropriate, as long as it is carefully written and will reinforce incentives to comply with the consumer protection purposes of the TCPA.”); Comments of </w:t>
      </w:r>
      <w:r w:rsidR="00A426AD">
        <w:t>ACA International, CG Docket No. 17-59</w:t>
      </w:r>
      <w:r w:rsidR="00D5496B">
        <w:t xml:space="preserve"> at 5</w:t>
      </w:r>
      <w:r w:rsidR="00A426AD">
        <w:t xml:space="preserve"> (filed June 5, 2018</w:t>
      </w:r>
      <w:r w:rsidR="00777A05">
        <w:t>) (“The success of any reassigned number database hinges on the safe harbor that the FCC associates with use of it, particularly to protect legitimate businesses from predatory TCPA litigation.”).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207308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B311FCF" w14:textId="77777777" w:rsidR="00047907" w:rsidRDefault="00964BAA">
        <w:pPr>
          <w:pStyle w:val="Header"/>
        </w:pPr>
        <w:r>
          <w:t>Ms. Marlene H. Dortch</w:t>
        </w:r>
      </w:p>
      <w:p w14:paraId="269E3B71" w14:textId="23E80343" w:rsidR="00047907" w:rsidRDefault="00D96F4C">
        <w:pPr>
          <w:pStyle w:val="Header"/>
        </w:pPr>
        <w:r>
          <w:t>December 3</w:t>
        </w:r>
        <w:r w:rsidR="00964BAA">
          <w:t>, 2018</w:t>
        </w:r>
      </w:p>
      <w:p w14:paraId="62B4BE50" w14:textId="16C56BF0" w:rsidR="005645E6" w:rsidRDefault="00964BAA">
        <w:pPr>
          <w:pStyle w:val="Header"/>
          <w:rPr>
            <w:noProof/>
          </w:rPr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6BC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91848" w14:textId="77777777" w:rsidR="00133129" w:rsidRPr="00A50886" w:rsidRDefault="00964BAA">
    <w:pPr>
      <w:pStyle w:val="Header"/>
      <w:rPr>
        <w:sz w:val="8"/>
        <w:szCs w:val="8"/>
      </w:rPr>
    </w:pPr>
    <w:r w:rsidRPr="00A50886">
      <w:rPr>
        <w:noProof/>
        <w:sz w:val="8"/>
        <w:szCs w:val="8"/>
      </w:rPr>
      <w:drawing>
        <wp:anchor distT="0" distB="0" distL="114300" distR="114300" simplePos="0" relativeHeight="251658240" behindDoc="0" locked="0" layoutInCell="1" allowOverlap="0" wp14:anchorId="08D44407" wp14:editId="52427451">
          <wp:simplePos x="0" y="0"/>
          <wp:positionH relativeFrom="page">
            <wp:posOffset>34506</wp:posOffset>
          </wp:positionH>
          <wp:positionV relativeFrom="page">
            <wp:posOffset>-51759</wp:posOffset>
          </wp:positionV>
          <wp:extent cx="7766866" cy="1820173"/>
          <wp:effectExtent l="0" t="0" r="5715" b="889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7217366" name="NCTA–Stationery-Letterhead-Template-To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866" cy="182017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a14="http://schemas.microsoft.com/office/mac/drawingml/2011/main" xmlns:mo="http://schemas.microsoft.com/office/mac/office/2008/main" xmlns:mv="urn:schemas-microsoft-com:mac:vml" xmlns:o="urn:schemas-microsoft-com:office:office" xmlns:v="urn:schemas-microsoft-com:vml" xmlns:w="http://schemas.openxmlformats.org/wordprocessingml/2006/main" xmlns:w10="urn:schemas-microsoft-com:office:word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4034A"/>
    <w:multiLevelType w:val="hybridMultilevel"/>
    <w:tmpl w:val="AE0ECF8C"/>
    <w:lvl w:ilvl="0" w:tplc="177C7868">
      <w:start w:val="1"/>
      <w:numFmt w:val="decimal"/>
      <w:lvlText w:val="%1."/>
      <w:lvlJc w:val="left"/>
      <w:pPr>
        <w:ind w:left="870" w:hanging="24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8E02A16">
      <w:start w:val="1"/>
      <w:numFmt w:val="bullet"/>
      <w:lvlText w:val="•"/>
      <w:lvlJc w:val="left"/>
      <w:pPr>
        <w:ind w:left="111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F0AF648">
      <w:start w:val="1"/>
      <w:numFmt w:val="bullet"/>
      <w:lvlText w:val="-"/>
      <w:lvlJc w:val="left"/>
      <w:pPr>
        <w:ind w:left="135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5FE23FA">
      <w:start w:val="1"/>
      <w:numFmt w:val="bullet"/>
      <w:lvlText w:val="•"/>
      <w:lvlJc w:val="left"/>
      <w:pPr>
        <w:ind w:left="159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CC8790">
      <w:start w:val="1"/>
      <w:numFmt w:val="bullet"/>
      <w:lvlText w:val="-"/>
      <w:lvlJc w:val="left"/>
      <w:pPr>
        <w:ind w:left="183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0EB1BE">
      <w:start w:val="1"/>
      <w:numFmt w:val="bullet"/>
      <w:lvlText w:val="•"/>
      <w:lvlJc w:val="left"/>
      <w:pPr>
        <w:ind w:left="207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E0FFB6">
      <w:start w:val="1"/>
      <w:numFmt w:val="bullet"/>
      <w:lvlText w:val="-"/>
      <w:lvlJc w:val="left"/>
      <w:pPr>
        <w:ind w:left="231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A52CC40">
      <w:start w:val="1"/>
      <w:numFmt w:val="bullet"/>
      <w:lvlText w:val="•"/>
      <w:lvlJc w:val="left"/>
      <w:pPr>
        <w:ind w:left="255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FE690E">
      <w:start w:val="1"/>
      <w:numFmt w:val="bullet"/>
      <w:lvlText w:val="-"/>
      <w:lvlJc w:val="left"/>
      <w:pPr>
        <w:ind w:left="279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51208FF"/>
    <w:multiLevelType w:val="hybridMultilevel"/>
    <w:tmpl w:val="ACBAF8CC"/>
    <w:lvl w:ilvl="0" w:tplc="EC9A4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5832A8" w:tentative="1">
      <w:start w:val="1"/>
      <w:numFmt w:val="lowerLetter"/>
      <w:lvlText w:val="%2."/>
      <w:lvlJc w:val="left"/>
      <w:pPr>
        <w:ind w:left="1440" w:hanging="360"/>
      </w:pPr>
    </w:lvl>
    <w:lvl w:ilvl="2" w:tplc="E26CE12A" w:tentative="1">
      <w:start w:val="1"/>
      <w:numFmt w:val="lowerRoman"/>
      <w:lvlText w:val="%3."/>
      <w:lvlJc w:val="right"/>
      <w:pPr>
        <w:ind w:left="2160" w:hanging="180"/>
      </w:pPr>
    </w:lvl>
    <w:lvl w:ilvl="3" w:tplc="9C0CE580" w:tentative="1">
      <w:start w:val="1"/>
      <w:numFmt w:val="decimal"/>
      <w:lvlText w:val="%4."/>
      <w:lvlJc w:val="left"/>
      <w:pPr>
        <w:ind w:left="2880" w:hanging="360"/>
      </w:pPr>
    </w:lvl>
    <w:lvl w:ilvl="4" w:tplc="F4A86DBC" w:tentative="1">
      <w:start w:val="1"/>
      <w:numFmt w:val="lowerLetter"/>
      <w:lvlText w:val="%5."/>
      <w:lvlJc w:val="left"/>
      <w:pPr>
        <w:ind w:left="3600" w:hanging="360"/>
      </w:pPr>
    </w:lvl>
    <w:lvl w:ilvl="5" w:tplc="5AEEDCCA" w:tentative="1">
      <w:start w:val="1"/>
      <w:numFmt w:val="lowerRoman"/>
      <w:lvlText w:val="%6."/>
      <w:lvlJc w:val="right"/>
      <w:pPr>
        <w:ind w:left="4320" w:hanging="180"/>
      </w:pPr>
    </w:lvl>
    <w:lvl w:ilvl="6" w:tplc="B212FC62" w:tentative="1">
      <w:start w:val="1"/>
      <w:numFmt w:val="decimal"/>
      <w:lvlText w:val="%7."/>
      <w:lvlJc w:val="left"/>
      <w:pPr>
        <w:ind w:left="5040" w:hanging="360"/>
      </w:pPr>
    </w:lvl>
    <w:lvl w:ilvl="7" w:tplc="DDA48C82" w:tentative="1">
      <w:start w:val="1"/>
      <w:numFmt w:val="lowerLetter"/>
      <w:lvlText w:val="%8."/>
      <w:lvlJc w:val="left"/>
      <w:pPr>
        <w:ind w:left="5760" w:hanging="360"/>
      </w:pPr>
    </w:lvl>
    <w:lvl w:ilvl="8" w:tplc="D20E04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04B1C"/>
    <w:multiLevelType w:val="hybridMultilevel"/>
    <w:tmpl w:val="0CB2649E"/>
    <w:numStyleLink w:val="NoteTaking"/>
  </w:abstractNum>
  <w:abstractNum w:abstractNumId="3" w15:restartNumberingAfterBreak="0">
    <w:nsid w:val="46DB75A5"/>
    <w:multiLevelType w:val="hybridMultilevel"/>
    <w:tmpl w:val="0CB2649E"/>
    <w:styleLink w:val="NoteTaking"/>
    <w:lvl w:ilvl="0" w:tplc="92F68836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2E81D8">
      <w:start w:val="1"/>
      <w:numFmt w:val="bullet"/>
      <w:lvlText w:val="•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C04F64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361BEE">
      <w:start w:val="1"/>
      <w:numFmt w:val="bullet"/>
      <w:lvlText w:val="•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B259BA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B07796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E187D6A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31AF308">
      <w:start w:val="1"/>
      <w:numFmt w:val="bullet"/>
      <w:lvlText w:val="•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2D6BDA8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64364498"/>
    <w:multiLevelType w:val="hybridMultilevel"/>
    <w:tmpl w:val="9B80F9A2"/>
    <w:lvl w:ilvl="0" w:tplc="11AEBBBC">
      <w:start w:val="1"/>
      <w:numFmt w:val="decimal"/>
      <w:lvlText w:val="%1."/>
      <w:lvlJc w:val="left"/>
      <w:pPr>
        <w:ind w:left="720" w:hanging="360"/>
      </w:pPr>
    </w:lvl>
    <w:lvl w:ilvl="1" w:tplc="B1B01CC2" w:tentative="1">
      <w:start w:val="1"/>
      <w:numFmt w:val="lowerLetter"/>
      <w:lvlText w:val="%2."/>
      <w:lvlJc w:val="left"/>
      <w:pPr>
        <w:ind w:left="1440" w:hanging="360"/>
      </w:pPr>
    </w:lvl>
    <w:lvl w:ilvl="2" w:tplc="9E8CF806" w:tentative="1">
      <w:start w:val="1"/>
      <w:numFmt w:val="lowerRoman"/>
      <w:lvlText w:val="%3."/>
      <w:lvlJc w:val="right"/>
      <w:pPr>
        <w:ind w:left="2160" w:hanging="180"/>
      </w:pPr>
    </w:lvl>
    <w:lvl w:ilvl="3" w:tplc="94C0F3C6" w:tentative="1">
      <w:start w:val="1"/>
      <w:numFmt w:val="decimal"/>
      <w:lvlText w:val="%4."/>
      <w:lvlJc w:val="left"/>
      <w:pPr>
        <w:ind w:left="2880" w:hanging="360"/>
      </w:pPr>
    </w:lvl>
    <w:lvl w:ilvl="4" w:tplc="9A94D01E" w:tentative="1">
      <w:start w:val="1"/>
      <w:numFmt w:val="lowerLetter"/>
      <w:lvlText w:val="%5."/>
      <w:lvlJc w:val="left"/>
      <w:pPr>
        <w:ind w:left="3600" w:hanging="360"/>
      </w:pPr>
    </w:lvl>
    <w:lvl w:ilvl="5" w:tplc="AE4878FA" w:tentative="1">
      <w:start w:val="1"/>
      <w:numFmt w:val="lowerRoman"/>
      <w:lvlText w:val="%6."/>
      <w:lvlJc w:val="right"/>
      <w:pPr>
        <w:ind w:left="4320" w:hanging="180"/>
      </w:pPr>
    </w:lvl>
    <w:lvl w:ilvl="6" w:tplc="A2D2E852" w:tentative="1">
      <w:start w:val="1"/>
      <w:numFmt w:val="decimal"/>
      <w:lvlText w:val="%7."/>
      <w:lvlJc w:val="left"/>
      <w:pPr>
        <w:ind w:left="5040" w:hanging="360"/>
      </w:pPr>
    </w:lvl>
    <w:lvl w:ilvl="7" w:tplc="1BAC03B6" w:tentative="1">
      <w:start w:val="1"/>
      <w:numFmt w:val="lowerLetter"/>
      <w:lvlText w:val="%8."/>
      <w:lvlJc w:val="left"/>
      <w:pPr>
        <w:ind w:left="5760" w:hanging="360"/>
      </w:pPr>
    </w:lvl>
    <w:lvl w:ilvl="8" w:tplc="D86A04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75076"/>
    <w:multiLevelType w:val="hybridMultilevel"/>
    <w:tmpl w:val="FE1287E2"/>
    <w:lvl w:ilvl="0" w:tplc="F77A8DE0">
      <w:start w:val="1"/>
      <w:numFmt w:val="decimal"/>
      <w:lvlText w:val="%1."/>
      <w:lvlJc w:val="left"/>
      <w:pPr>
        <w:ind w:left="720" w:hanging="360"/>
      </w:pPr>
    </w:lvl>
    <w:lvl w:ilvl="1" w:tplc="3BFA7360" w:tentative="1">
      <w:start w:val="1"/>
      <w:numFmt w:val="lowerLetter"/>
      <w:lvlText w:val="%2."/>
      <w:lvlJc w:val="left"/>
      <w:pPr>
        <w:ind w:left="1440" w:hanging="360"/>
      </w:pPr>
    </w:lvl>
    <w:lvl w:ilvl="2" w:tplc="83AA7838" w:tentative="1">
      <w:start w:val="1"/>
      <w:numFmt w:val="lowerRoman"/>
      <w:lvlText w:val="%3."/>
      <w:lvlJc w:val="right"/>
      <w:pPr>
        <w:ind w:left="2160" w:hanging="180"/>
      </w:pPr>
    </w:lvl>
    <w:lvl w:ilvl="3" w:tplc="77F09540" w:tentative="1">
      <w:start w:val="1"/>
      <w:numFmt w:val="decimal"/>
      <w:lvlText w:val="%4."/>
      <w:lvlJc w:val="left"/>
      <w:pPr>
        <w:ind w:left="2880" w:hanging="360"/>
      </w:pPr>
    </w:lvl>
    <w:lvl w:ilvl="4" w:tplc="57AE4562" w:tentative="1">
      <w:start w:val="1"/>
      <w:numFmt w:val="lowerLetter"/>
      <w:lvlText w:val="%5."/>
      <w:lvlJc w:val="left"/>
      <w:pPr>
        <w:ind w:left="3600" w:hanging="360"/>
      </w:pPr>
    </w:lvl>
    <w:lvl w:ilvl="5" w:tplc="34DE8C98" w:tentative="1">
      <w:start w:val="1"/>
      <w:numFmt w:val="lowerRoman"/>
      <w:lvlText w:val="%6."/>
      <w:lvlJc w:val="right"/>
      <w:pPr>
        <w:ind w:left="4320" w:hanging="180"/>
      </w:pPr>
    </w:lvl>
    <w:lvl w:ilvl="6" w:tplc="1984452A" w:tentative="1">
      <w:start w:val="1"/>
      <w:numFmt w:val="decimal"/>
      <w:lvlText w:val="%7."/>
      <w:lvlJc w:val="left"/>
      <w:pPr>
        <w:ind w:left="5040" w:hanging="360"/>
      </w:pPr>
    </w:lvl>
    <w:lvl w:ilvl="7" w:tplc="CA84BB62" w:tentative="1">
      <w:start w:val="1"/>
      <w:numFmt w:val="lowerLetter"/>
      <w:lvlText w:val="%8."/>
      <w:lvlJc w:val="left"/>
      <w:pPr>
        <w:ind w:left="5760" w:hanging="360"/>
      </w:pPr>
    </w:lvl>
    <w:lvl w:ilvl="8" w:tplc="4FC0020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Formatting/>
  <w:styleLockQFSet/>
  <w:defaultTabStop w:val="720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heckedForWebBugs" w:val="True"/>
  </w:docVars>
  <w:rsids>
    <w:rsidRoot w:val="00A81015"/>
    <w:rsid w:val="00095508"/>
    <w:rsid w:val="00127963"/>
    <w:rsid w:val="00127D45"/>
    <w:rsid w:val="001C0CC7"/>
    <w:rsid w:val="001C5DB7"/>
    <w:rsid w:val="001D504F"/>
    <w:rsid w:val="00225EB4"/>
    <w:rsid w:val="002500BD"/>
    <w:rsid w:val="00257F2E"/>
    <w:rsid w:val="002847D4"/>
    <w:rsid w:val="00300D3C"/>
    <w:rsid w:val="0030429A"/>
    <w:rsid w:val="00343A7C"/>
    <w:rsid w:val="00366BC8"/>
    <w:rsid w:val="003819B4"/>
    <w:rsid w:val="003C1A85"/>
    <w:rsid w:val="00464F6A"/>
    <w:rsid w:val="004724D2"/>
    <w:rsid w:val="0047541D"/>
    <w:rsid w:val="004B4BB4"/>
    <w:rsid w:val="005F4DF4"/>
    <w:rsid w:val="00611E46"/>
    <w:rsid w:val="00616629"/>
    <w:rsid w:val="00720EDF"/>
    <w:rsid w:val="0073140D"/>
    <w:rsid w:val="007315B2"/>
    <w:rsid w:val="0074791C"/>
    <w:rsid w:val="00777A05"/>
    <w:rsid w:val="007865CD"/>
    <w:rsid w:val="0079423C"/>
    <w:rsid w:val="00806C96"/>
    <w:rsid w:val="00833DFB"/>
    <w:rsid w:val="00867812"/>
    <w:rsid w:val="00894FCD"/>
    <w:rsid w:val="008B6E99"/>
    <w:rsid w:val="008D3BC4"/>
    <w:rsid w:val="009339E0"/>
    <w:rsid w:val="00964BAA"/>
    <w:rsid w:val="009667AE"/>
    <w:rsid w:val="00974A65"/>
    <w:rsid w:val="009B64E1"/>
    <w:rsid w:val="00A426AD"/>
    <w:rsid w:val="00A439B3"/>
    <w:rsid w:val="00A50886"/>
    <w:rsid w:val="00A66B1A"/>
    <w:rsid w:val="00A81015"/>
    <w:rsid w:val="00A87393"/>
    <w:rsid w:val="00AE5100"/>
    <w:rsid w:val="00AF6AD4"/>
    <w:rsid w:val="00C22287"/>
    <w:rsid w:val="00C76EB5"/>
    <w:rsid w:val="00CD05BB"/>
    <w:rsid w:val="00CE3BB7"/>
    <w:rsid w:val="00D01F2D"/>
    <w:rsid w:val="00D0740F"/>
    <w:rsid w:val="00D4310E"/>
    <w:rsid w:val="00D5496B"/>
    <w:rsid w:val="00D62050"/>
    <w:rsid w:val="00D70D3E"/>
    <w:rsid w:val="00D96F4C"/>
    <w:rsid w:val="00DC6634"/>
    <w:rsid w:val="00E52087"/>
    <w:rsid w:val="00EA1C0F"/>
    <w:rsid w:val="00F02BF1"/>
    <w:rsid w:val="00F24B6F"/>
    <w:rsid w:val="00F51435"/>
    <w:rsid w:val="00F62093"/>
    <w:rsid w:val="00F91A26"/>
    <w:rsid w:val="00FD59C5"/>
    <w:rsid w:val="00FF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861E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3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409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098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098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322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22D7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3322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22D7"/>
    <w:rPr>
      <w:rFonts w:ascii="Times New Roman" w:eastAsia="Times New Roman" w:hAnsi="Times New Roman" w:cs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C7C"/>
    <w:rPr>
      <w:rFonts w:ascii="Segoe UI" w:eastAsia="Times New Roman" w:hAnsi="Segoe UI" w:cs="Segoe UI"/>
      <w:color w:val="000000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326E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326E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A2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6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6E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6E6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numbering" w:customStyle="1" w:styleId="NoteTaking">
    <w:name w:val="Note Taking"/>
    <w:rsid w:val="005F0EE7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F80535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A810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9" w:lineRule="auto"/>
      <w:ind w:left="10" w:hanging="10"/>
    </w:pPr>
    <w:rPr>
      <w:rFonts w:ascii="Consolas" w:eastAsia="Times New Roman" w:hAnsi="Consolas" w:cs="Times New Roman"/>
      <w:color w:val="000000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81015"/>
    <w:rPr>
      <w:rFonts w:ascii="Consolas" w:eastAsia="Times New Roman" w:hAnsi="Consolas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1064</Characters>
  <Application>Microsoft Office Word</Application>
  <DocSecurity>0</DocSecurity>
  <Lines>32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2018-12-03T15:02:00Z</dcterms:created>
  <dcterms:modified xsi:type="dcterms:W3CDTF">2018-12-03T15:08:00Z</dcterms:modified>
</cp:coreProperties>
</file>