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4EB4B" w14:textId="77777777" w:rsidR="0014184A" w:rsidRDefault="0014184A" w:rsidP="0014184A">
      <w:pPr>
        <w:spacing w:before="22"/>
        <w:ind w:right="-90"/>
        <w:jc w:val="center"/>
        <w:rPr>
          <w:b/>
          <w:sz w:val="28"/>
          <w:szCs w:val="28"/>
        </w:rPr>
      </w:pPr>
      <w:bookmarkStart w:id="0" w:name="_GoBack"/>
      <w:bookmarkEnd w:id="0"/>
    </w:p>
    <w:p w14:paraId="75E8E217" w14:textId="75DBAEFC" w:rsidR="00795B96" w:rsidRPr="0051657C" w:rsidRDefault="0095470B" w:rsidP="0014184A">
      <w:pPr>
        <w:spacing w:before="22"/>
        <w:ind w:right="-90"/>
        <w:jc w:val="center"/>
        <w:rPr>
          <w:b/>
          <w:spacing w:val="-3"/>
          <w:sz w:val="28"/>
          <w:szCs w:val="28"/>
        </w:rPr>
      </w:pPr>
      <w:r w:rsidRPr="0051657C">
        <w:rPr>
          <w:b/>
          <w:sz w:val="28"/>
          <w:szCs w:val="28"/>
        </w:rPr>
        <w:t xml:space="preserve">Federal Communications </w:t>
      </w:r>
      <w:r w:rsidRPr="0051657C">
        <w:rPr>
          <w:b/>
          <w:spacing w:val="-3"/>
          <w:sz w:val="28"/>
          <w:szCs w:val="28"/>
        </w:rPr>
        <w:t>Commission</w:t>
      </w:r>
    </w:p>
    <w:p w14:paraId="47D812B3" w14:textId="76D2EB38" w:rsidR="001235C4" w:rsidRPr="0051657C" w:rsidRDefault="0095470B" w:rsidP="0014184A">
      <w:pPr>
        <w:spacing w:before="22"/>
        <w:ind w:right="-90"/>
        <w:jc w:val="center"/>
        <w:rPr>
          <w:b/>
          <w:sz w:val="28"/>
          <w:szCs w:val="28"/>
        </w:rPr>
      </w:pPr>
      <w:r w:rsidRPr="0051657C">
        <w:rPr>
          <w:b/>
          <w:sz w:val="28"/>
          <w:szCs w:val="28"/>
        </w:rPr>
        <w:t>Washington, D.C.</w:t>
      </w:r>
    </w:p>
    <w:p w14:paraId="1A54BA0D" w14:textId="043A5A75" w:rsidR="001235C4" w:rsidRPr="0051657C" w:rsidRDefault="001235C4" w:rsidP="0014184A">
      <w:pPr>
        <w:pStyle w:val="BodyText"/>
        <w:ind w:right="-90"/>
        <w:jc w:val="both"/>
        <w:rPr>
          <w:rFonts w:asciiTheme="minorHAnsi" w:hAnsiTheme="minorHAnsi" w:cstheme="minorHAnsi"/>
        </w:rPr>
      </w:pPr>
    </w:p>
    <w:p w14:paraId="2B9F4F78" w14:textId="77777777" w:rsidR="0014184A" w:rsidRDefault="0014184A" w:rsidP="0014184A">
      <w:pPr>
        <w:ind w:right="-90"/>
        <w:jc w:val="both"/>
        <w:rPr>
          <w:b/>
        </w:rPr>
      </w:pPr>
    </w:p>
    <w:p w14:paraId="6E7488FC" w14:textId="0E534589" w:rsidR="0014184A" w:rsidRPr="0014184A" w:rsidRDefault="0051657C" w:rsidP="0014184A">
      <w:pPr>
        <w:ind w:right="-90"/>
        <w:jc w:val="both"/>
        <w:rPr>
          <w:rFonts w:eastAsiaTheme="minorHAnsi"/>
          <w:sz w:val="24"/>
          <w:szCs w:val="24"/>
        </w:rPr>
      </w:pPr>
      <w:r w:rsidRPr="0014184A">
        <w:rPr>
          <w:b/>
          <w:sz w:val="24"/>
          <w:szCs w:val="24"/>
        </w:rPr>
        <w:t>Comments to Notice of Proposed Rulemaking</w:t>
      </w:r>
      <w:r w:rsidRPr="0014184A">
        <w:rPr>
          <w:rFonts w:eastAsiaTheme="minorHAnsi"/>
          <w:sz w:val="24"/>
          <w:szCs w:val="24"/>
        </w:rPr>
        <w:t xml:space="preserve">:  </w:t>
      </w:r>
    </w:p>
    <w:p w14:paraId="4E1143A4" w14:textId="26C08039" w:rsidR="0051657C" w:rsidRPr="0014184A" w:rsidRDefault="0051657C" w:rsidP="0014184A">
      <w:pPr>
        <w:ind w:right="-90"/>
        <w:jc w:val="both"/>
        <w:rPr>
          <w:rStyle w:val="ng-binding"/>
          <w:rFonts w:asciiTheme="minorHAnsi" w:hAnsiTheme="minorHAnsi" w:cstheme="minorHAnsi"/>
          <w:bCs/>
          <w:i/>
          <w:color w:val="1D2B3E"/>
          <w:sz w:val="24"/>
          <w:szCs w:val="24"/>
          <w:bdr w:val="none" w:sz="0" w:space="0" w:color="auto" w:frame="1"/>
        </w:rPr>
      </w:pPr>
      <w:r w:rsidRPr="0014184A">
        <w:rPr>
          <w:rStyle w:val="ng-binding"/>
          <w:rFonts w:asciiTheme="minorHAnsi" w:hAnsiTheme="minorHAnsi" w:cstheme="minorHAnsi"/>
          <w:bCs/>
          <w:i/>
          <w:color w:val="1D2B3E"/>
          <w:sz w:val="24"/>
          <w:szCs w:val="24"/>
          <w:bdr w:val="none" w:sz="0" w:space="0" w:color="auto" w:frame="1"/>
        </w:rPr>
        <w:t xml:space="preserve">In the Matter of Implementation of Section 621(a) </w:t>
      </w:r>
    </w:p>
    <w:p w14:paraId="0D218BF6" w14:textId="276702EF" w:rsidR="0051657C" w:rsidRPr="0014184A" w:rsidRDefault="0014184A" w:rsidP="0014184A">
      <w:pPr>
        <w:ind w:right="-90"/>
        <w:jc w:val="both"/>
        <w:rPr>
          <w:rStyle w:val="ng-binding"/>
          <w:rFonts w:asciiTheme="minorHAnsi" w:hAnsiTheme="minorHAnsi" w:cstheme="minorHAnsi"/>
          <w:bCs/>
          <w:color w:val="1D2B3E"/>
          <w:sz w:val="24"/>
          <w:szCs w:val="24"/>
          <w:bdr w:val="none" w:sz="0" w:space="0" w:color="auto" w:frame="1"/>
        </w:rPr>
      </w:pPr>
      <w:r w:rsidRPr="0014184A">
        <w:rPr>
          <w:rStyle w:val="ng-binding"/>
          <w:rFonts w:asciiTheme="minorHAnsi" w:hAnsiTheme="minorHAnsi" w:cstheme="minorHAnsi"/>
          <w:bCs/>
          <w:i/>
          <w:color w:val="1D2B3E"/>
          <w:sz w:val="24"/>
          <w:szCs w:val="24"/>
          <w:bdr w:val="none" w:sz="0" w:space="0" w:color="auto" w:frame="1"/>
        </w:rPr>
        <w:t xml:space="preserve">of </w:t>
      </w:r>
      <w:r w:rsidR="0051657C" w:rsidRPr="0014184A">
        <w:rPr>
          <w:rStyle w:val="ng-binding"/>
          <w:rFonts w:asciiTheme="minorHAnsi" w:hAnsiTheme="minorHAnsi" w:cstheme="minorHAnsi"/>
          <w:bCs/>
          <w:i/>
          <w:color w:val="1D2B3E"/>
          <w:sz w:val="24"/>
          <w:szCs w:val="24"/>
          <w:bdr w:val="none" w:sz="0" w:space="0" w:color="auto" w:frame="1"/>
        </w:rPr>
        <w:t>the Cable Communications Policy Act of 1984 as</w:t>
      </w:r>
      <w:r w:rsidR="0051657C" w:rsidRPr="0014184A">
        <w:rPr>
          <w:rStyle w:val="ng-binding"/>
          <w:rFonts w:asciiTheme="minorHAnsi" w:hAnsiTheme="minorHAnsi" w:cstheme="minorHAnsi"/>
          <w:bCs/>
          <w:i/>
          <w:color w:val="1D2B3E"/>
          <w:sz w:val="24"/>
          <w:szCs w:val="24"/>
          <w:bdr w:val="none" w:sz="0" w:space="0" w:color="auto" w:frame="1"/>
        </w:rPr>
        <w:tab/>
      </w:r>
      <w:r w:rsidR="0051657C" w:rsidRPr="0014184A">
        <w:rPr>
          <w:rStyle w:val="ng-binding"/>
          <w:rFonts w:asciiTheme="minorHAnsi" w:hAnsiTheme="minorHAnsi" w:cstheme="minorHAnsi"/>
          <w:bCs/>
          <w:i/>
          <w:color w:val="1D2B3E"/>
          <w:sz w:val="24"/>
          <w:szCs w:val="24"/>
          <w:bdr w:val="none" w:sz="0" w:space="0" w:color="auto" w:frame="1"/>
        </w:rPr>
        <w:tab/>
      </w:r>
      <w:r w:rsidR="0051657C" w:rsidRPr="0014184A">
        <w:rPr>
          <w:rStyle w:val="ng-binding"/>
          <w:rFonts w:asciiTheme="minorHAnsi" w:hAnsiTheme="minorHAnsi" w:cstheme="minorHAnsi"/>
          <w:bCs/>
          <w:i/>
          <w:color w:val="1D2B3E"/>
          <w:sz w:val="24"/>
          <w:szCs w:val="24"/>
          <w:bdr w:val="none" w:sz="0" w:space="0" w:color="auto" w:frame="1"/>
        </w:rPr>
        <w:tab/>
      </w:r>
      <w:r w:rsidR="0051657C" w:rsidRPr="0014184A">
        <w:rPr>
          <w:rStyle w:val="ng-binding"/>
          <w:rFonts w:asciiTheme="minorHAnsi" w:hAnsiTheme="minorHAnsi" w:cstheme="minorHAnsi"/>
          <w:b/>
          <w:bCs/>
          <w:color w:val="1D2B3E"/>
          <w:sz w:val="24"/>
          <w:szCs w:val="24"/>
          <w:bdr w:val="none" w:sz="0" w:space="0" w:color="auto" w:frame="1"/>
        </w:rPr>
        <w:t>MB Docket 05-0311</w:t>
      </w:r>
    </w:p>
    <w:p w14:paraId="37625427" w14:textId="77777777" w:rsidR="0051657C" w:rsidRPr="0014184A" w:rsidRDefault="0051657C" w:rsidP="0014184A">
      <w:pPr>
        <w:ind w:right="-90"/>
        <w:jc w:val="both"/>
        <w:rPr>
          <w:rStyle w:val="ng-binding"/>
          <w:rFonts w:asciiTheme="minorHAnsi" w:hAnsiTheme="minorHAnsi" w:cstheme="minorHAnsi"/>
          <w:bCs/>
          <w:i/>
          <w:color w:val="1D2B3E"/>
          <w:sz w:val="24"/>
          <w:szCs w:val="24"/>
          <w:bdr w:val="none" w:sz="0" w:space="0" w:color="auto" w:frame="1"/>
        </w:rPr>
      </w:pPr>
      <w:r w:rsidRPr="0014184A">
        <w:rPr>
          <w:rStyle w:val="ng-binding"/>
          <w:rFonts w:asciiTheme="minorHAnsi" w:hAnsiTheme="minorHAnsi" w:cstheme="minorHAnsi"/>
          <w:bCs/>
          <w:i/>
          <w:color w:val="1D2B3E"/>
          <w:sz w:val="24"/>
          <w:szCs w:val="24"/>
          <w:bdr w:val="none" w:sz="0" w:space="0" w:color="auto" w:frame="1"/>
        </w:rPr>
        <w:t>amended by the Cable Television Consumer</w:t>
      </w:r>
    </w:p>
    <w:p w14:paraId="3F7255CC" w14:textId="75BE3071" w:rsidR="001235C4" w:rsidRPr="0014184A" w:rsidRDefault="0051657C" w:rsidP="0014184A">
      <w:pPr>
        <w:ind w:right="-90"/>
        <w:jc w:val="both"/>
        <w:rPr>
          <w:bCs/>
          <w:i/>
          <w:color w:val="1D2B3E"/>
          <w:sz w:val="24"/>
          <w:szCs w:val="24"/>
          <w:bdr w:val="none" w:sz="0" w:space="0" w:color="auto" w:frame="1"/>
        </w:rPr>
      </w:pPr>
      <w:r w:rsidRPr="0014184A">
        <w:rPr>
          <w:rStyle w:val="ng-binding"/>
          <w:rFonts w:asciiTheme="minorHAnsi" w:hAnsiTheme="minorHAnsi" w:cstheme="minorHAnsi"/>
          <w:bCs/>
          <w:i/>
          <w:color w:val="1D2B3E"/>
          <w:sz w:val="24"/>
          <w:szCs w:val="24"/>
          <w:bdr w:val="none" w:sz="0" w:space="0" w:color="auto" w:frame="1"/>
        </w:rPr>
        <w:t>Protection and Competition Act of 1992</w:t>
      </w:r>
    </w:p>
    <w:p w14:paraId="232AC621" w14:textId="77777777" w:rsidR="0051657C" w:rsidRPr="0014184A" w:rsidRDefault="0051657C" w:rsidP="0014184A">
      <w:pPr>
        <w:pStyle w:val="BodyText"/>
        <w:spacing w:before="9"/>
        <w:ind w:right="-90"/>
        <w:jc w:val="both"/>
      </w:pPr>
    </w:p>
    <w:p w14:paraId="5CD30717" w14:textId="1496BCF5" w:rsidR="0051657C" w:rsidRPr="0051657C" w:rsidRDefault="0051657C" w:rsidP="0014184A">
      <w:pPr>
        <w:pStyle w:val="BodyText"/>
        <w:spacing w:before="9"/>
        <w:ind w:right="-90"/>
        <w:jc w:val="center"/>
        <w:rPr>
          <w:b/>
        </w:rPr>
      </w:pPr>
      <w:r w:rsidRPr="0051657C">
        <w:rPr>
          <w:b/>
        </w:rPr>
        <w:t>COMMENTS OF LINDA JOY SULLIVAN,</w:t>
      </w:r>
    </w:p>
    <w:p w14:paraId="2FD9E60F" w14:textId="45D5204A" w:rsidR="00795B96" w:rsidRPr="0051657C" w:rsidRDefault="0051657C" w:rsidP="0014184A">
      <w:pPr>
        <w:pStyle w:val="BodyText"/>
        <w:spacing w:before="9"/>
        <w:ind w:right="-90"/>
        <w:jc w:val="center"/>
        <w:rPr>
          <w:u w:val="single"/>
        </w:rPr>
      </w:pPr>
      <w:r w:rsidRPr="0051657C">
        <w:rPr>
          <w:b/>
          <w:u w:val="single"/>
        </w:rPr>
        <w:t>REPRESENTATIVE, VERMONT HOUSE OF REPRESENTATIVES</w:t>
      </w:r>
    </w:p>
    <w:p w14:paraId="37BA98BB" w14:textId="77777777" w:rsidR="00795B96" w:rsidRDefault="00795B96" w:rsidP="0014184A">
      <w:pPr>
        <w:pStyle w:val="BodyText"/>
        <w:spacing w:before="9"/>
        <w:ind w:right="-90"/>
        <w:jc w:val="both"/>
      </w:pPr>
    </w:p>
    <w:p w14:paraId="3E63D269" w14:textId="7AB7909F" w:rsidR="00D01F57" w:rsidRDefault="00795B96" w:rsidP="0014184A">
      <w:pPr>
        <w:pStyle w:val="BodyText"/>
        <w:spacing w:before="9"/>
        <w:ind w:right="-90"/>
        <w:jc w:val="both"/>
      </w:pPr>
      <w:r w:rsidRPr="00795B96">
        <w:t xml:space="preserve">I </w:t>
      </w:r>
      <w:r>
        <w:t xml:space="preserve">am </w:t>
      </w:r>
      <w:r w:rsidR="00D01F57">
        <w:t>a member of the</w:t>
      </w:r>
      <w:r>
        <w:t xml:space="preserve"> Vermont House of Representatives</w:t>
      </w:r>
      <w:r w:rsidR="0051657C">
        <w:t>.  I</w:t>
      </w:r>
      <w:r>
        <w:t xml:space="preserve"> </w:t>
      </w:r>
      <w:r w:rsidR="00D01F57">
        <w:t xml:space="preserve">represent </w:t>
      </w:r>
      <w:r>
        <w:t xml:space="preserve">a district comprised of five towns in South Central Vermont.  Our towns are rural and far from major media centers.  My district is nestled between Burlington far to our north (2.5 hours away by </w:t>
      </w:r>
      <w:r w:rsidR="00FD72EF">
        <w:t>automobile</w:t>
      </w:r>
      <w:r>
        <w:t>), Albany to our south</w:t>
      </w:r>
      <w:r w:rsidR="00D01F57">
        <w:t>west</w:t>
      </w:r>
      <w:r>
        <w:t xml:space="preserve"> (1.75 hours away) and Springfield, Massachusetts </w:t>
      </w:r>
      <w:r w:rsidR="00D01F57">
        <w:t xml:space="preserve">to our southeast </w:t>
      </w:r>
      <w:r>
        <w:t xml:space="preserve">(2+ hours away).  </w:t>
      </w:r>
    </w:p>
    <w:p w14:paraId="0E14241F" w14:textId="77777777" w:rsidR="00D01F57" w:rsidRDefault="00D01F57" w:rsidP="0014184A">
      <w:pPr>
        <w:pStyle w:val="BodyText"/>
        <w:spacing w:before="9"/>
        <w:ind w:right="-90"/>
        <w:jc w:val="both"/>
      </w:pPr>
    </w:p>
    <w:p w14:paraId="0DB2B6BB" w14:textId="5991B0C8" w:rsidR="001235C4" w:rsidRDefault="00795B96" w:rsidP="0014184A">
      <w:pPr>
        <w:pStyle w:val="BodyText"/>
        <w:spacing w:before="9"/>
        <w:ind w:right="-90"/>
        <w:jc w:val="both"/>
      </w:pPr>
      <w:r>
        <w:t>As a result</w:t>
      </w:r>
      <w:r w:rsidR="00D01F57">
        <w:t xml:space="preserve"> of our lack of proximity to regional media centers</w:t>
      </w:r>
      <w:r>
        <w:t xml:space="preserve">, news pertinent to our district is rarely if ever featured on </w:t>
      </w:r>
      <w:r w:rsidR="00D01F57">
        <w:t xml:space="preserve">television outlets serving Albany, Burlington and Springfield.  Instead, for local </w:t>
      </w:r>
      <w:r w:rsidR="0014184A">
        <w:t>news</w:t>
      </w:r>
      <w:r w:rsidR="00D01F57">
        <w:t>, we must rely almost entirely on coverage supplied by GNAT-TV, a not-for-profit community media center which provides public, education and government programming for eleven towns in rural Southwestern, Vermont.</w:t>
      </w:r>
    </w:p>
    <w:p w14:paraId="4256EC1A" w14:textId="1BAC73DE" w:rsidR="00D01F57" w:rsidRDefault="00D01F57" w:rsidP="0014184A">
      <w:pPr>
        <w:pStyle w:val="BodyText"/>
        <w:spacing w:before="9"/>
        <w:ind w:right="-90"/>
        <w:jc w:val="both"/>
      </w:pPr>
    </w:p>
    <w:p w14:paraId="41E5DDFF" w14:textId="68D0AA57" w:rsidR="00D01F57" w:rsidRDefault="00D01F57" w:rsidP="0014184A">
      <w:pPr>
        <w:pStyle w:val="BodyText"/>
        <w:spacing w:before="9"/>
        <w:ind w:right="-90"/>
        <w:jc w:val="both"/>
      </w:pPr>
      <w:r>
        <w:t xml:space="preserve">I write to comment on the </w:t>
      </w:r>
      <w:r w:rsidR="00FD72EF">
        <w:t xml:space="preserve">rule making </w:t>
      </w:r>
      <w:r>
        <w:t>proposal that would allow our only cable TV provider, Comcast, to reclassify and value for itself certain in-kind contributions</w:t>
      </w:r>
      <w:r w:rsidR="00FE5954">
        <w:t>, which could potentially be used as an entire</w:t>
      </w:r>
      <w:r>
        <w:t xml:space="preserve"> substitute for community access franchise fee payments</w:t>
      </w:r>
      <w:r w:rsidR="0014184A">
        <w:t xml:space="preserve"> now being made to GNAT-TV</w:t>
      </w:r>
      <w:r>
        <w:t xml:space="preserve">.  The proposal as I understand </w:t>
      </w:r>
      <w:r w:rsidR="0014184A">
        <w:t>it has the potential of leading</w:t>
      </w:r>
      <w:r>
        <w:t xml:space="preserve"> to a substantial reduction or </w:t>
      </w:r>
      <w:r w:rsidR="0014184A">
        <w:t xml:space="preserve">even the </w:t>
      </w:r>
      <w:r>
        <w:t>elimination of franchise fee funding now being received by GNAT-TV.</w:t>
      </w:r>
    </w:p>
    <w:p w14:paraId="5C401609" w14:textId="219A50E1" w:rsidR="00D01F57" w:rsidRDefault="00D01F57" w:rsidP="0014184A">
      <w:pPr>
        <w:pStyle w:val="BodyText"/>
        <w:spacing w:before="9"/>
        <w:ind w:right="-90"/>
        <w:jc w:val="both"/>
      </w:pPr>
    </w:p>
    <w:p w14:paraId="381D9A03" w14:textId="72B184E9" w:rsidR="00D01F57" w:rsidRDefault="00D01F57" w:rsidP="0014184A">
      <w:pPr>
        <w:pStyle w:val="BodyText"/>
        <w:spacing w:before="9"/>
        <w:ind w:right="-90"/>
        <w:jc w:val="both"/>
      </w:pPr>
      <w:r>
        <w:t xml:space="preserve">Whatever the </w:t>
      </w:r>
      <w:r w:rsidR="00FD72EF">
        <w:t xml:space="preserve">extent of the </w:t>
      </w:r>
      <w:r>
        <w:t>reduction</w:t>
      </w:r>
      <w:r w:rsidR="00FE5954">
        <w:t xml:space="preserve"> actually realized by GNAT-TV should the new regulations be adopted</w:t>
      </w:r>
      <w:r>
        <w:t xml:space="preserve">, I can attest that </w:t>
      </w:r>
      <w:r w:rsidRPr="00D01F57">
        <w:rPr>
          <w:i/>
        </w:rPr>
        <w:t>any</w:t>
      </w:r>
      <w:r>
        <w:t xml:space="preserve"> reduction </w:t>
      </w:r>
      <w:r w:rsidR="00FD72EF">
        <w:t xml:space="preserve">in the franchise fee payments </w:t>
      </w:r>
      <w:r>
        <w:t xml:space="preserve">will </w:t>
      </w:r>
      <w:r w:rsidR="0014184A">
        <w:t xml:space="preserve">likely </w:t>
      </w:r>
      <w:r>
        <w:t xml:space="preserve">compromise </w:t>
      </w:r>
      <w:r w:rsidR="0014184A">
        <w:t xml:space="preserve">the important role </w:t>
      </w:r>
      <w:r>
        <w:t>GNAT-TV</w:t>
      </w:r>
      <w:r w:rsidR="0014184A">
        <w:t xml:space="preserve"> now plays in the communities it serves</w:t>
      </w:r>
      <w:r w:rsidR="00FD72EF">
        <w:t xml:space="preserve">.  </w:t>
      </w:r>
      <w:r>
        <w:t xml:space="preserve">GNAT-TV is everywhere – it </w:t>
      </w:r>
      <w:r w:rsidR="00FD72EF">
        <w:t xml:space="preserve">provides coverage of our local town and school board meetings; it runs highly informative news and public interest pieces featuring local business and community leaders; it has partnered with our local schools in providing educational opportunities; </w:t>
      </w:r>
      <w:r w:rsidR="00FE5954">
        <w:t xml:space="preserve">it provides supplemental online programming for non-Comcast subscribers; GNAT-TV has allowed its facilities to be used by community groups looking to produce content; </w:t>
      </w:r>
      <w:r w:rsidR="00FD72EF">
        <w:t>most importantly</w:t>
      </w:r>
      <w:r w:rsidR="00FE5954" w:rsidRPr="00FE5954">
        <w:t xml:space="preserve"> </w:t>
      </w:r>
      <w:r w:rsidR="00FE5954">
        <w:t xml:space="preserve">it sponsors and broadcasts virtually </w:t>
      </w:r>
      <w:r w:rsidR="00FD72EF">
        <w:t xml:space="preserve">all of our important debates and public events. </w:t>
      </w:r>
      <w:r w:rsidR="00FE5954">
        <w:t xml:space="preserve"> Last year it ran close to 1000 broadcasts. </w:t>
      </w:r>
      <w:r w:rsidR="00FD72EF">
        <w:t xml:space="preserve"> It is run professionally, by serious journalists who care about the mission of the franchise.  GNAT-TV is a critical institution in these parts.</w:t>
      </w:r>
      <w:r w:rsidR="0014184A">
        <w:t xml:space="preserve">  It directly contributes to our civic and cultural vitality.</w:t>
      </w:r>
      <w:r w:rsidR="0014184A" w:rsidRPr="0014184A">
        <w:t xml:space="preserve"> </w:t>
      </w:r>
      <w:r w:rsidR="0014184A">
        <w:t xml:space="preserve">The rule making proposal, if adopted, will in my opinion, and in the eyes of many of my constituents, pose a direct and immediate threat to the vibrancy of our communities.  </w:t>
      </w:r>
    </w:p>
    <w:p w14:paraId="4FEB7787" w14:textId="17554C83" w:rsidR="00FE5954" w:rsidRDefault="00FE5954" w:rsidP="0014184A">
      <w:pPr>
        <w:pStyle w:val="BodyText"/>
        <w:spacing w:before="9"/>
        <w:ind w:right="-90"/>
        <w:jc w:val="both"/>
      </w:pPr>
    </w:p>
    <w:p w14:paraId="54351658" w14:textId="77777777" w:rsidR="006955B4" w:rsidRDefault="006955B4" w:rsidP="0014184A">
      <w:pPr>
        <w:pStyle w:val="BodyText"/>
        <w:spacing w:before="9"/>
        <w:ind w:right="-90"/>
        <w:jc w:val="both"/>
      </w:pPr>
    </w:p>
    <w:p w14:paraId="0A9B5999" w14:textId="77777777" w:rsidR="006955B4" w:rsidRDefault="006955B4" w:rsidP="0014184A">
      <w:pPr>
        <w:pStyle w:val="BodyText"/>
        <w:spacing w:before="9"/>
        <w:ind w:right="-90"/>
        <w:jc w:val="both"/>
      </w:pPr>
    </w:p>
    <w:p w14:paraId="2D3B279F" w14:textId="77777777" w:rsidR="006955B4" w:rsidRDefault="006955B4" w:rsidP="0014184A">
      <w:pPr>
        <w:pStyle w:val="BodyText"/>
        <w:spacing w:before="9"/>
        <w:ind w:right="-90"/>
        <w:jc w:val="both"/>
      </w:pPr>
    </w:p>
    <w:p w14:paraId="2FFCEDA8" w14:textId="77777777" w:rsidR="006955B4" w:rsidRDefault="006955B4" w:rsidP="0014184A">
      <w:pPr>
        <w:pStyle w:val="BodyText"/>
        <w:spacing w:before="9"/>
        <w:ind w:right="-90"/>
        <w:jc w:val="both"/>
      </w:pPr>
    </w:p>
    <w:p w14:paraId="5477ED77" w14:textId="77777777" w:rsidR="006955B4" w:rsidRDefault="006955B4" w:rsidP="0014184A">
      <w:pPr>
        <w:pStyle w:val="BodyText"/>
        <w:spacing w:before="9"/>
        <w:ind w:right="-90"/>
        <w:jc w:val="both"/>
      </w:pPr>
    </w:p>
    <w:p w14:paraId="3E650898" w14:textId="15360559" w:rsidR="00FE5954" w:rsidRDefault="00FE5954" w:rsidP="0014184A">
      <w:pPr>
        <w:pStyle w:val="BodyText"/>
        <w:spacing w:before="9"/>
        <w:ind w:right="-90"/>
        <w:jc w:val="both"/>
      </w:pPr>
      <w:r>
        <w:t>The benefits provided by GNAT-TV</w:t>
      </w:r>
      <w:r w:rsidR="0014184A">
        <w:t>, then, predominantly</w:t>
      </w:r>
      <w:r>
        <w:t xml:space="preserve"> accrue to the public.  The franchise fee payments do not represent some form of windfall to GNAT-TV or to our local franchise authority.  </w:t>
      </w:r>
      <w:r w:rsidR="0051657C">
        <w:t xml:space="preserve">It is not too dramatic to say that the franchise fee is the lifeblood of GNAT-TV, without which our communities – the public – will directly suffer.  </w:t>
      </w:r>
    </w:p>
    <w:p w14:paraId="462781C2" w14:textId="74A9C8B7" w:rsidR="0051657C" w:rsidRDefault="0051657C" w:rsidP="0014184A">
      <w:pPr>
        <w:pStyle w:val="BodyText"/>
        <w:spacing w:before="9"/>
        <w:ind w:right="-90"/>
        <w:jc w:val="both"/>
      </w:pPr>
    </w:p>
    <w:p w14:paraId="3085FB22" w14:textId="17F78B7A" w:rsidR="0051657C" w:rsidRDefault="0051657C" w:rsidP="0014184A">
      <w:pPr>
        <w:pStyle w:val="BodyText"/>
        <w:spacing w:before="9"/>
        <w:ind w:right="-90"/>
        <w:jc w:val="both"/>
      </w:pPr>
      <w:r>
        <w:t xml:space="preserve">I urge the Commission in the strongest terms to reject the proposed rulemaking </w:t>
      </w:r>
    </w:p>
    <w:p w14:paraId="7F267CEB" w14:textId="77777777" w:rsidR="001235C4" w:rsidRDefault="001235C4" w:rsidP="0014184A">
      <w:pPr>
        <w:pStyle w:val="BodyText"/>
        <w:ind w:right="-90"/>
        <w:jc w:val="both"/>
        <w:rPr>
          <w:sz w:val="26"/>
        </w:rPr>
      </w:pPr>
    </w:p>
    <w:p w14:paraId="02934CA5" w14:textId="77777777" w:rsidR="001235C4" w:rsidRDefault="001235C4" w:rsidP="0014184A">
      <w:pPr>
        <w:pStyle w:val="BodyText"/>
        <w:ind w:right="-90"/>
        <w:jc w:val="both"/>
        <w:rPr>
          <w:sz w:val="26"/>
        </w:rPr>
      </w:pPr>
    </w:p>
    <w:p w14:paraId="67F0006C" w14:textId="77777777" w:rsidR="001235C4" w:rsidRDefault="001235C4" w:rsidP="0014184A">
      <w:pPr>
        <w:pStyle w:val="BodyText"/>
        <w:spacing w:before="5"/>
        <w:ind w:right="-90"/>
        <w:jc w:val="both"/>
        <w:rPr>
          <w:sz w:val="20"/>
        </w:rPr>
      </w:pPr>
    </w:p>
    <w:p w14:paraId="0E23E049" w14:textId="77777777" w:rsidR="0014184A" w:rsidRDefault="0095470B" w:rsidP="0014184A">
      <w:pPr>
        <w:pStyle w:val="BodyText"/>
        <w:spacing w:line="254" w:lineRule="auto"/>
        <w:ind w:left="5165" w:right="-90"/>
        <w:jc w:val="both"/>
      </w:pPr>
      <w:r>
        <w:t xml:space="preserve">Respectfully submitted, </w:t>
      </w:r>
    </w:p>
    <w:p w14:paraId="2B3882CD" w14:textId="77777777" w:rsidR="0014184A" w:rsidRDefault="0014184A" w:rsidP="0014184A">
      <w:pPr>
        <w:pStyle w:val="BodyText"/>
        <w:spacing w:line="254" w:lineRule="auto"/>
        <w:ind w:left="5165" w:right="-90"/>
        <w:jc w:val="both"/>
      </w:pPr>
    </w:p>
    <w:p w14:paraId="164D121C" w14:textId="77777777" w:rsidR="0014184A" w:rsidRDefault="0014184A" w:rsidP="0014184A">
      <w:pPr>
        <w:pStyle w:val="BodyText"/>
        <w:spacing w:line="254" w:lineRule="auto"/>
        <w:ind w:left="5165" w:right="-90"/>
        <w:jc w:val="both"/>
      </w:pPr>
      <w:r>
        <w:t xml:space="preserve">Linda Joy Sullivan </w:t>
      </w:r>
    </w:p>
    <w:p w14:paraId="49B7DD9B" w14:textId="63E67958" w:rsidR="0014184A" w:rsidRDefault="0014184A" w:rsidP="0014184A">
      <w:pPr>
        <w:pStyle w:val="BodyText"/>
        <w:spacing w:line="254" w:lineRule="auto"/>
        <w:ind w:left="5165" w:right="-90"/>
        <w:jc w:val="both"/>
      </w:pPr>
      <w:r>
        <w:t>Representative (Ben-Rut District)</w:t>
      </w:r>
      <w:r w:rsidR="0095470B">
        <w:t xml:space="preserve"> </w:t>
      </w:r>
    </w:p>
    <w:p w14:paraId="6FAAF4FD" w14:textId="77777777" w:rsidR="0014184A" w:rsidRDefault="0014184A" w:rsidP="0014184A">
      <w:pPr>
        <w:pStyle w:val="BodyText"/>
        <w:spacing w:line="254" w:lineRule="auto"/>
        <w:ind w:left="5165" w:right="-90"/>
        <w:jc w:val="both"/>
      </w:pPr>
      <w:r>
        <w:t>Vermont House of Representatives</w:t>
      </w:r>
      <w:r w:rsidR="0095470B">
        <w:t xml:space="preserve"> </w:t>
      </w:r>
    </w:p>
    <w:p w14:paraId="7ACF1E86" w14:textId="77777777" w:rsidR="0014184A" w:rsidRDefault="0014184A" w:rsidP="0014184A">
      <w:pPr>
        <w:pStyle w:val="BodyText"/>
        <w:spacing w:line="254" w:lineRule="auto"/>
        <w:ind w:left="5165" w:right="-90"/>
        <w:jc w:val="both"/>
      </w:pPr>
    </w:p>
    <w:p w14:paraId="73CE1289" w14:textId="0C858F17" w:rsidR="001235C4" w:rsidRDefault="0014184A" w:rsidP="0014184A">
      <w:pPr>
        <w:pStyle w:val="BodyText"/>
        <w:spacing w:line="254" w:lineRule="auto"/>
        <w:ind w:left="5165" w:right="-90"/>
        <w:jc w:val="both"/>
      </w:pPr>
      <w:r>
        <w:t>December 6</w:t>
      </w:r>
      <w:r w:rsidR="0095470B">
        <w:t>, 2018</w:t>
      </w:r>
    </w:p>
    <w:p w14:paraId="43AA1771" w14:textId="668F364B" w:rsidR="001235C4" w:rsidRDefault="001235C4" w:rsidP="0014184A">
      <w:pPr>
        <w:pStyle w:val="BodyText"/>
        <w:ind w:right="-90"/>
        <w:jc w:val="both"/>
        <w:rPr>
          <w:sz w:val="20"/>
        </w:rPr>
      </w:pPr>
    </w:p>
    <w:p w14:paraId="1F22D1EF" w14:textId="77777777" w:rsidR="006955B4" w:rsidRDefault="006955B4" w:rsidP="0014184A">
      <w:pPr>
        <w:pStyle w:val="BodyText"/>
        <w:ind w:right="-90"/>
        <w:jc w:val="both"/>
        <w:rPr>
          <w:sz w:val="20"/>
        </w:rPr>
      </w:pPr>
    </w:p>
    <w:p w14:paraId="6F5225AF" w14:textId="77777777" w:rsidR="001235C4" w:rsidRDefault="001235C4" w:rsidP="0014184A">
      <w:pPr>
        <w:pStyle w:val="BodyText"/>
        <w:ind w:right="-90"/>
        <w:jc w:val="both"/>
        <w:rPr>
          <w:sz w:val="20"/>
        </w:rPr>
      </w:pPr>
    </w:p>
    <w:p w14:paraId="36663EA5" w14:textId="06758C2C" w:rsidR="006955B4" w:rsidRPr="006955B4" w:rsidRDefault="006955B4" w:rsidP="006955B4">
      <w:pPr>
        <w:pStyle w:val="BodyText"/>
        <w:spacing w:before="3"/>
        <w:rPr>
          <w:sz w:val="26"/>
        </w:rPr>
      </w:pPr>
      <w:r>
        <w:rPr>
          <w:sz w:val="26"/>
        </w:rPr>
        <w:tab/>
      </w:r>
      <w:r>
        <w:rPr>
          <w:sz w:val="26"/>
        </w:rPr>
        <w:tab/>
      </w:r>
      <w:r>
        <w:rPr>
          <w:sz w:val="26"/>
        </w:rPr>
        <w:tab/>
      </w:r>
      <w:r>
        <w:rPr>
          <w:sz w:val="26"/>
        </w:rPr>
        <w:tab/>
      </w:r>
      <w:r>
        <w:rPr>
          <w:sz w:val="26"/>
        </w:rPr>
        <w:tab/>
      </w:r>
      <w:r>
        <w:rPr>
          <w:sz w:val="26"/>
        </w:rPr>
        <w:tab/>
      </w:r>
      <w:r>
        <w:rPr>
          <w:sz w:val="26"/>
        </w:rPr>
        <w:tab/>
        <w:t xml:space="preserve">  _________________________</w:t>
      </w:r>
    </w:p>
    <w:sectPr w:rsidR="006955B4" w:rsidRPr="006955B4" w:rsidSect="0014184A">
      <w:footerReference w:type="default" r:id="rId6"/>
      <w:pgSz w:w="12240" w:h="15840"/>
      <w:pgMar w:top="1380" w:right="1470" w:bottom="1000" w:left="1320" w:header="0" w:footer="8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145B2" w14:textId="77777777" w:rsidR="0095470B" w:rsidRDefault="0095470B">
      <w:r>
        <w:separator/>
      </w:r>
    </w:p>
  </w:endnote>
  <w:endnote w:type="continuationSeparator" w:id="0">
    <w:p w14:paraId="3FA776E1" w14:textId="77777777" w:rsidR="0095470B" w:rsidRDefault="00954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437B9" w14:textId="215B1E34" w:rsidR="001235C4" w:rsidRDefault="001235C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1CCAE" w14:textId="77777777" w:rsidR="0095470B" w:rsidRDefault="0095470B">
      <w:r>
        <w:separator/>
      </w:r>
    </w:p>
  </w:footnote>
  <w:footnote w:type="continuationSeparator" w:id="0">
    <w:p w14:paraId="617781B8" w14:textId="77777777" w:rsidR="0095470B" w:rsidRDefault="00954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3"/>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C4"/>
    <w:rsid w:val="001235C4"/>
    <w:rsid w:val="0014184A"/>
    <w:rsid w:val="0051657C"/>
    <w:rsid w:val="006955B4"/>
    <w:rsid w:val="00795B96"/>
    <w:rsid w:val="0095470B"/>
    <w:rsid w:val="00C25733"/>
    <w:rsid w:val="00D01F57"/>
    <w:rsid w:val="00FD72EF"/>
    <w:rsid w:val="00FE5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C7E783"/>
  <w15:docId w15:val="{5DB267D4-3109-DD43-85B4-00FFDEA38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67" w:right="2813"/>
      <w:jc w:val="center"/>
      <w:outlineLvl w:val="0"/>
    </w:pPr>
    <w:rPr>
      <w:b/>
      <w:bCs/>
      <w:sz w:val="24"/>
      <w:szCs w:val="24"/>
    </w:rPr>
  </w:style>
  <w:style w:type="paragraph" w:styleId="Heading4">
    <w:name w:val="heading 4"/>
    <w:basedOn w:val="Normal"/>
    <w:next w:val="Normal"/>
    <w:link w:val="Heading4Char"/>
    <w:uiPriority w:val="9"/>
    <w:semiHidden/>
    <w:unhideWhenUsed/>
    <w:qFormat/>
    <w:rsid w:val="0051657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Heading4Char">
    <w:name w:val="Heading 4 Char"/>
    <w:basedOn w:val="DefaultParagraphFont"/>
    <w:link w:val="Heading4"/>
    <w:uiPriority w:val="9"/>
    <w:semiHidden/>
    <w:rsid w:val="0051657C"/>
    <w:rPr>
      <w:rFonts w:asciiTheme="majorHAnsi" w:eastAsiaTheme="majorEastAsia" w:hAnsiTheme="majorHAnsi" w:cstheme="majorBidi"/>
      <w:i/>
      <w:iCs/>
      <w:color w:val="365F91" w:themeColor="accent1" w:themeShade="BF"/>
    </w:rPr>
  </w:style>
  <w:style w:type="character" w:customStyle="1" w:styleId="ng-binding">
    <w:name w:val="ng-binding"/>
    <w:basedOn w:val="DefaultParagraphFont"/>
    <w:rsid w:val="0051657C"/>
  </w:style>
  <w:style w:type="paragraph" w:styleId="Header">
    <w:name w:val="header"/>
    <w:basedOn w:val="Normal"/>
    <w:link w:val="HeaderChar"/>
    <w:uiPriority w:val="99"/>
    <w:unhideWhenUsed/>
    <w:rsid w:val="0014184A"/>
    <w:pPr>
      <w:tabs>
        <w:tab w:val="center" w:pos="4680"/>
        <w:tab w:val="right" w:pos="9360"/>
      </w:tabs>
    </w:pPr>
  </w:style>
  <w:style w:type="character" w:customStyle="1" w:styleId="HeaderChar">
    <w:name w:val="Header Char"/>
    <w:basedOn w:val="DefaultParagraphFont"/>
    <w:link w:val="Header"/>
    <w:uiPriority w:val="99"/>
    <w:rsid w:val="0014184A"/>
    <w:rPr>
      <w:rFonts w:ascii="Times New Roman" w:eastAsia="Times New Roman" w:hAnsi="Times New Roman" w:cs="Times New Roman"/>
    </w:rPr>
  </w:style>
  <w:style w:type="paragraph" w:styleId="Footer">
    <w:name w:val="footer"/>
    <w:basedOn w:val="Normal"/>
    <w:link w:val="FooterChar"/>
    <w:uiPriority w:val="99"/>
    <w:unhideWhenUsed/>
    <w:rsid w:val="0014184A"/>
    <w:pPr>
      <w:tabs>
        <w:tab w:val="center" w:pos="4680"/>
        <w:tab w:val="right" w:pos="9360"/>
      </w:tabs>
    </w:pPr>
  </w:style>
  <w:style w:type="character" w:customStyle="1" w:styleId="FooterChar">
    <w:name w:val="Footer Char"/>
    <w:basedOn w:val="DefaultParagraphFont"/>
    <w:link w:val="Footer"/>
    <w:uiPriority w:val="99"/>
    <w:rsid w:val="0014184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7693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Sullivan PLLC</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Allan Sullivan</cp:lastModifiedBy>
  <cp:revision>2</cp:revision>
  <dcterms:created xsi:type="dcterms:W3CDTF">2018-12-06T21:23:00Z</dcterms:created>
  <dcterms:modified xsi:type="dcterms:W3CDTF">2018-12-06T21:23:00Z</dcterms:modified>
</cp:coreProperties>
</file>